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b/>
          <w:color w:val="auto"/>
          <w:sz w:val="36"/>
          <w:szCs w:val="36"/>
          <w:highlight w:val="none"/>
        </w:rPr>
      </w:pPr>
      <w:r>
        <w:rPr>
          <w:rFonts w:ascii="Times New Roman" w:hAnsi="Times New Roman"/>
          <w:color w:val="auto"/>
          <w:sz w:val="24"/>
          <w:highlight w:val="none"/>
        </w:rPr>
        <w:drawing>
          <wp:inline distT="0" distB="0" distL="114300" distR="114300">
            <wp:extent cx="2858135" cy="902970"/>
            <wp:effectExtent l="0" t="0" r="12065" b="11430"/>
            <wp:docPr id="5" name="图片 1" descr="C:\Users\X390\Desktop\图标.png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X390\Desktop\图标.png图标"/>
                    <pic:cNvPicPr>
                      <a:picLocks noChangeAspect="1"/>
                    </pic:cNvPicPr>
                  </pic:nvPicPr>
                  <pic:blipFill>
                    <a:blip r:embed="rId12"/>
                    <a:srcRect/>
                    <a:stretch>
                      <a:fillRect/>
                    </a:stretch>
                  </pic:blipFill>
                  <pic:spPr>
                    <a:xfrm>
                      <a:off x="0" y="0"/>
                      <a:ext cx="2858135" cy="902970"/>
                    </a:xfrm>
                    <a:prstGeom prst="rect">
                      <a:avLst/>
                    </a:prstGeom>
                    <a:noFill/>
                    <a:ln>
                      <a:noFill/>
                    </a:ln>
                  </pic:spPr>
                </pic:pic>
              </a:graphicData>
            </a:graphic>
          </wp:inline>
        </w:drawing>
      </w:r>
      <w:r>
        <w:rPr>
          <w:rFonts w:ascii="Times New Roman" w:hAnsi="Times New Roman"/>
          <w:color w:val="auto"/>
          <w:sz w:val="24"/>
          <w:highlight w:val="none"/>
        </w:rPr>
        <w:t xml:space="preserve">                                 </w:t>
      </w:r>
      <w:r>
        <w:rPr>
          <w:rFonts w:ascii="Times New Roman" w:hAnsi="Times New Roman"/>
          <w:b/>
          <w:bCs/>
          <w:color w:val="auto"/>
          <w:sz w:val="28"/>
          <w:szCs w:val="21"/>
          <w:highlight w:val="none"/>
        </w:rPr>
        <w:t>（</w:t>
      </w:r>
      <w:r>
        <w:rPr>
          <w:rFonts w:hint="eastAsia" w:ascii="Times New Roman" w:hAnsi="Times New Roman"/>
          <w:b/>
          <w:bCs/>
          <w:color w:val="auto"/>
          <w:sz w:val="28"/>
          <w:szCs w:val="21"/>
          <w:highlight w:val="none"/>
          <w:lang w:val="en-US" w:eastAsia="zh-CN"/>
        </w:rPr>
        <w:t>发售</w:t>
      </w:r>
      <w:r>
        <w:rPr>
          <w:rFonts w:ascii="Times New Roman" w:hAnsi="Times New Roman"/>
          <w:b/>
          <w:bCs/>
          <w:color w:val="auto"/>
          <w:sz w:val="28"/>
          <w:szCs w:val="21"/>
          <w:highlight w:val="none"/>
        </w:rPr>
        <w:t>版）</w:t>
      </w:r>
    </w:p>
    <w:p>
      <w:pPr>
        <w:spacing w:line="360" w:lineRule="auto"/>
        <w:jc w:val="center"/>
        <w:rPr>
          <w:rFonts w:hint="eastAsia" w:ascii="Times New Roman" w:hAnsi="Times New Roman" w:eastAsia="黑体"/>
          <w:bCs/>
          <w:color w:val="auto"/>
          <w:sz w:val="32"/>
          <w:szCs w:val="18"/>
          <w:highlight w:val="none"/>
          <w:lang w:eastAsia="zh-CN"/>
        </w:rPr>
      </w:pPr>
      <w:r>
        <w:rPr>
          <w:rFonts w:ascii="Times New Roman" w:hAnsi="Times New Roman" w:eastAsia="黑体"/>
          <w:bCs/>
          <w:color w:val="auto"/>
          <w:sz w:val="32"/>
          <w:szCs w:val="18"/>
          <w:highlight w:val="none"/>
        </w:rPr>
        <w:t xml:space="preserve">                                项目编号：</w:t>
      </w:r>
      <w:r>
        <w:rPr>
          <w:rFonts w:hint="eastAsia" w:ascii="Times New Roman" w:hAnsi="Times New Roman" w:eastAsia="黑体"/>
          <w:bCs/>
          <w:color w:val="auto"/>
          <w:sz w:val="32"/>
          <w:szCs w:val="18"/>
          <w:highlight w:val="none"/>
          <w:lang w:eastAsia="zh-CN"/>
        </w:rPr>
        <w:t>0747-2261SCCMY631</w:t>
      </w:r>
    </w:p>
    <w:p>
      <w:pPr>
        <w:spacing w:line="360" w:lineRule="auto"/>
        <w:jc w:val="center"/>
        <w:rPr>
          <w:rFonts w:ascii="Times New Roman" w:hAnsi="Times New Roman"/>
          <w:b/>
          <w:color w:val="auto"/>
          <w:sz w:val="36"/>
          <w:szCs w:val="36"/>
          <w:highlight w:val="none"/>
        </w:rPr>
      </w:pPr>
    </w:p>
    <w:p>
      <w:pPr>
        <w:spacing w:line="360" w:lineRule="auto"/>
        <w:jc w:val="center"/>
        <w:rPr>
          <w:rFonts w:ascii="Times New Roman" w:hAnsi="Times New Roman"/>
          <w:b/>
          <w:color w:val="auto"/>
          <w:sz w:val="36"/>
          <w:szCs w:val="36"/>
          <w:highlight w:val="none"/>
        </w:rPr>
      </w:pPr>
    </w:p>
    <w:p>
      <w:pPr>
        <w:pStyle w:val="2"/>
        <w:rPr>
          <w:rFonts w:ascii="Times New Roman"/>
          <w:b/>
          <w:color w:val="auto"/>
          <w:sz w:val="36"/>
          <w:szCs w:val="36"/>
          <w:highlight w:val="none"/>
        </w:rPr>
      </w:pPr>
    </w:p>
    <w:p>
      <w:pPr>
        <w:rPr>
          <w:rFonts w:ascii="Times New Roman" w:hAnsi="Times New Roman"/>
          <w:b/>
          <w:color w:val="auto"/>
          <w:sz w:val="36"/>
          <w:szCs w:val="36"/>
          <w:highlight w:val="none"/>
        </w:rPr>
      </w:pPr>
    </w:p>
    <w:p>
      <w:pPr>
        <w:pStyle w:val="2"/>
        <w:rPr>
          <w:rFonts w:ascii="Times New Roman"/>
          <w:b/>
          <w:color w:val="auto"/>
          <w:sz w:val="36"/>
          <w:szCs w:val="36"/>
          <w:highlight w:val="none"/>
        </w:rPr>
      </w:pPr>
    </w:p>
    <w:p>
      <w:pPr>
        <w:rPr>
          <w:rFonts w:ascii="Times New Roman" w:hAnsi="Times New Roman"/>
          <w:color w:val="auto"/>
          <w:highlight w:val="none"/>
        </w:rPr>
      </w:pPr>
    </w:p>
    <w:p>
      <w:pPr>
        <w:spacing w:line="360" w:lineRule="auto"/>
        <w:jc w:val="center"/>
        <w:rPr>
          <w:rFonts w:hint="eastAsia" w:ascii="Times New Roman" w:hAnsi="Times New Roman" w:eastAsia="黑体"/>
          <w:bCs/>
          <w:color w:val="auto"/>
          <w:sz w:val="36"/>
          <w:szCs w:val="36"/>
          <w:highlight w:val="none"/>
          <w:lang w:eastAsia="zh-CN"/>
        </w:rPr>
      </w:pPr>
      <w:r>
        <w:rPr>
          <w:rFonts w:hint="eastAsia" w:ascii="Times New Roman" w:hAnsi="Times New Roman" w:eastAsia="黑体"/>
          <w:bCs/>
          <w:color w:val="auto"/>
          <w:sz w:val="44"/>
          <w:szCs w:val="44"/>
          <w:highlight w:val="none"/>
        </w:rPr>
        <w:t>中国工程物理研究院</w:t>
      </w:r>
      <w:r>
        <w:rPr>
          <w:rFonts w:hint="eastAsia" w:ascii="Times New Roman" w:hAnsi="Times New Roman" w:eastAsia="黑体"/>
          <w:bCs/>
          <w:color w:val="auto"/>
          <w:sz w:val="44"/>
          <w:szCs w:val="44"/>
          <w:highlight w:val="none"/>
          <w:lang w:eastAsia="zh-CN"/>
        </w:rPr>
        <w:t>应用电子学研究所</w:t>
      </w:r>
    </w:p>
    <w:p>
      <w:pPr>
        <w:spacing w:line="360" w:lineRule="auto"/>
        <w:jc w:val="center"/>
        <w:rPr>
          <w:rFonts w:ascii="Times New Roman" w:hAnsi="Times New Roman" w:eastAsia="黑体"/>
          <w:bCs/>
          <w:color w:val="auto"/>
          <w:sz w:val="44"/>
          <w:szCs w:val="44"/>
          <w:highlight w:val="none"/>
        </w:rPr>
      </w:pPr>
      <w:r>
        <w:rPr>
          <w:rFonts w:hint="eastAsia" w:ascii="Times New Roman" w:hAnsi="Times New Roman" w:eastAsia="黑体"/>
          <w:bCs/>
          <w:color w:val="auto"/>
          <w:sz w:val="44"/>
          <w:szCs w:val="44"/>
          <w:highlight w:val="none"/>
          <w:lang w:eastAsia="zh-CN"/>
        </w:rPr>
        <w:t>GJB 5000B换版服务</w:t>
      </w:r>
      <w:r>
        <w:rPr>
          <w:rFonts w:ascii="Times New Roman" w:hAnsi="Times New Roman" w:eastAsia="黑体"/>
          <w:bCs/>
          <w:color w:val="auto"/>
          <w:sz w:val="44"/>
          <w:szCs w:val="44"/>
          <w:highlight w:val="none"/>
        </w:rPr>
        <w:t xml:space="preserve">项目 </w:t>
      </w:r>
    </w:p>
    <w:p>
      <w:pPr>
        <w:spacing w:line="360" w:lineRule="auto"/>
        <w:jc w:val="center"/>
        <w:rPr>
          <w:rFonts w:ascii="Times New Roman" w:hAnsi="Times New Roman" w:eastAsia="黑体"/>
          <w:bCs/>
          <w:color w:val="auto"/>
          <w:sz w:val="44"/>
          <w:szCs w:val="44"/>
          <w:highlight w:val="none"/>
        </w:rPr>
      </w:pPr>
    </w:p>
    <w:p>
      <w:pPr>
        <w:spacing w:line="360" w:lineRule="auto"/>
        <w:jc w:val="center"/>
        <w:rPr>
          <w:rFonts w:ascii="Times New Roman" w:hAnsi="Times New Roman" w:eastAsia="黑体"/>
          <w:bCs/>
          <w:color w:val="auto"/>
          <w:sz w:val="84"/>
          <w:szCs w:val="84"/>
          <w:highlight w:val="none"/>
        </w:rPr>
      </w:pPr>
      <w:r>
        <w:rPr>
          <w:rFonts w:ascii="Times New Roman" w:hAnsi="Times New Roman" w:eastAsia="黑体"/>
          <w:bCs/>
          <w:color w:val="auto"/>
          <w:sz w:val="72"/>
          <w:szCs w:val="72"/>
          <w:highlight w:val="none"/>
        </w:rPr>
        <w:t>竞争性磋商文件</w:t>
      </w:r>
    </w:p>
    <w:p>
      <w:pPr>
        <w:spacing w:line="360" w:lineRule="auto"/>
        <w:rPr>
          <w:rFonts w:ascii="Times New Roman" w:hAnsi="Times New Roman" w:eastAsia="黑体"/>
          <w:bCs/>
          <w:color w:val="auto"/>
          <w:sz w:val="44"/>
          <w:szCs w:val="44"/>
          <w:highlight w:val="none"/>
        </w:rPr>
      </w:pPr>
    </w:p>
    <w:p>
      <w:pPr>
        <w:spacing w:line="360" w:lineRule="auto"/>
        <w:rPr>
          <w:rFonts w:ascii="Times New Roman" w:hAnsi="Times New Roman" w:eastAsia="黑体"/>
          <w:bCs/>
          <w:color w:val="auto"/>
          <w:sz w:val="44"/>
          <w:szCs w:val="44"/>
          <w:highlight w:val="none"/>
        </w:rPr>
      </w:pPr>
    </w:p>
    <w:p>
      <w:pPr>
        <w:spacing w:line="360" w:lineRule="auto"/>
        <w:jc w:val="center"/>
        <w:rPr>
          <w:rFonts w:hint="eastAsia" w:ascii="Times New Roman" w:hAnsi="Times New Roman" w:eastAsia="黑体"/>
          <w:bCs/>
          <w:color w:val="auto"/>
          <w:sz w:val="36"/>
          <w:szCs w:val="36"/>
          <w:highlight w:val="none"/>
          <w:lang w:eastAsia="zh-CN"/>
        </w:rPr>
      </w:pPr>
      <w:r>
        <w:rPr>
          <w:rFonts w:ascii="Times New Roman" w:hAnsi="Times New Roman" w:eastAsia="黑体"/>
          <w:bCs/>
          <w:color w:val="auto"/>
          <w:sz w:val="36"/>
          <w:szCs w:val="36"/>
          <w:highlight w:val="none"/>
        </w:rPr>
        <w:t>采 购 人：</w:t>
      </w:r>
      <w:r>
        <w:rPr>
          <w:rFonts w:hint="eastAsia" w:ascii="Times New Roman" w:hAnsi="Times New Roman" w:eastAsia="黑体"/>
          <w:bCs/>
          <w:color w:val="auto"/>
          <w:sz w:val="36"/>
          <w:szCs w:val="36"/>
          <w:highlight w:val="none"/>
        </w:rPr>
        <w:t>中国工程物理研究院</w:t>
      </w:r>
      <w:r>
        <w:rPr>
          <w:rFonts w:hint="eastAsia" w:ascii="Times New Roman" w:hAnsi="Times New Roman" w:eastAsia="黑体"/>
          <w:bCs/>
          <w:color w:val="auto"/>
          <w:sz w:val="36"/>
          <w:szCs w:val="36"/>
          <w:highlight w:val="none"/>
          <w:lang w:eastAsia="zh-CN"/>
        </w:rPr>
        <w:t>应用电子学研究所</w:t>
      </w:r>
    </w:p>
    <w:p>
      <w:pPr>
        <w:spacing w:line="360" w:lineRule="auto"/>
        <w:jc w:val="center"/>
        <w:rPr>
          <w:rFonts w:ascii="Times New Roman" w:hAnsi="Times New Roman" w:eastAsia="黑体"/>
          <w:bCs/>
          <w:color w:val="auto"/>
          <w:sz w:val="36"/>
          <w:szCs w:val="36"/>
          <w:highlight w:val="none"/>
        </w:rPr>
      </w:pPr>
      <w:r>
        <w:rPr>
          <w:rFonts w:ascii="Times New Roman" w:hAnsi="Times New Roman" w:eastAsia="黑体"/>
          <w:bCs/>
          <w:color w:val="auto"/>
          <w:sz w:val="36"/>
          <w:szCs w:val="36"/>
          <w:highlight w:val="none"/>
        </w:rPr>
        <w:t>采购代理机构：中化商务有限公司</w:t>
      </w:r>
    </w:p>
    <w:p>
      <w:pPr>
        <w:spacing w:line="360" w:lineRule="auto"/>
        <w:jc w:val="center"/>
        <w:rPr>
          <w:rFonts w:ascii="Times New Roman" w:hAnsi="Times New Roman" w:eastAsia="黑体"/>
          <w:bCs/>
          <w:color w:val="auto"/>
          <w:sz w:val="36"/>
          <w:szCs w:val="36"/>
          <w:highlight w:val="none"/>
        </w:rPr>
      </w:pPr>
    </w:p>
    <w:p>
      <w:pPr>
        <w:spacing w:line="360" w:lineRule="auto"/>
        <w:jc w:val="center"/>
        <w:rPr>
          <w:rFonts w:ascii="Times New Roman" w:hAnsi="Times New Roman" w:eastAsia="黑体"/>
          <w:bCs/>
          <w:color w:val="auto"/>
          <w:sz w:val="28"/>
          <w:szCs w:val="28"/>
          <w:highlight w:val="none"/>
        </w:rPr>
      </w:pPr>
      <w:r>
        <w:rPr>
          <w:rFonts w:ascii="Times New Roman" w:hAnsi="Times New Roman" w:eastAsia="黑体"/>
          <w:bCs/>
          <w:color w:val="auto"/>
          <w:sz w:val="36"/>
          <w:szCs w:val="36"/>
          <w:highlight w:val="none"/>
        </w:rPr>
        <w:t>202</w:t>
      </w:r>
      <w:r>
        <w:rPr>
          <w:rFonts w:hint="eastAsia" w:ascii="Times New Roman" w:hAnsi="Times New Roman" w:eastAsia="黑体"/>
          <w:bCs/>
          <w:color w:val="auto"/>
          <w:sz w:val="36"/>
          <w:szCs w:val="36"/>
          <w:highlight w:val="none"/>
        </w:rPr>
        <w:t>2</w:t>
      </w:r>
      <w:r>
        <w:rPr>
          <w:rFonts w:ascii="Times New Roman" w:hAnsi="Times New Roman" w:eastAsia="黑体"/>
          <w:bCs/>
          <w:color w:val="auto"/>
          <w:sz w:val="36"/>
          <w:szCs w:val="36"/>
          <w:highlight w:val="none"/>
        </w:rPr>
        <w:t>年</w:t>
      </w:r>
    </w:p>
    <w:p>
      <w:pPr>
        <w:widowControl/>
        <w:jc w:val="left"/>
        <w:rPr>
          <w:rFonts w:ascii="Times New Roman" w:hAnsi="Times New Roman"/>
          <w:b/>
          <w:color w:val="auto"/>
          <w:sz w:val="44"/>
          <w:szCs w:val="44"/>
          <w:highlight w:val="none"/>
        </w:rPr>
      </w:pPr>
      <w:r>
        <w:rPr>
          <w:rFonts w:ascii="Times New Roman" w:hAnsi="Times New Roman"/>
          <w:b/>
          <w:color w:val="auto"/>
          <w:sz w:val="30"/>
          <w:szCs w:val="30"/>
          <w:highlight w:val="none"/>
        </w:rPr>
        <w:br w:type="page"/>
      </w:r>
    </w:p>
    <w:p>
      <w:pPr>
        <w:spacing w:line="360" w:lineRule="auto"/>
        <w:jc w:val="center"/>
        <w:rPr>
          <w:rFonts w:ascii="Times New Roman" w:hAnsi="Times New Roman"/>
          <w:b/>
          <w:color w:val="auto"/>
          <w:sz w:val="44"/>
          <w:szCs w:val="44"/>
          <w:highlight w:val="none"/>
        </w:rPr>
      </w:pPr>
      <w:r>
        <w:rPr>
          <w:rFonts w:ascii="Times New Roman" w:hAnsi="Times New Roman"/>
          <w:b/>
          <w:color w:val="auto"/>
          <w:sz w:val="44"/>
          <w:szCs w:val="44"/>
          <w:highlight w:val="none"/>
        </w:rPr>
        <w:t>目  录</w:t>
      </w:r>
    </w:p>
    <w:p>
      <w:pPr>
        <w:pStyle w:val="32"/>
        <w:tabs>
          <w:tab w:val="right" w:leader="dot" w:pos="9922"/>
          <w:tab w:val="clear" w:pos="840"/>
          <w:tab w:val="clear" w:pos="8302"/>
        </w:tabs>
        <w:spacing w:line="360" w:lineRule="auto"/>
        <w:rPr>
          <w:rFonts w:ascii="Times New Roman" w:hAnsi="Times New Roman" w:eastAsiaTheme="majorEastAsia"/>
          <w:color w:val="auto"/>
          <w:sz w:val="32"/>
          <w:szCs w:val="32"/>
          <w:highlight w:val="none"/>
        </w:rPr>
      </w:pPr>
      <w:r>
        <w:rPr>
          <w:rFonts w:ascii="Times New Roman" w:hAnsi="Times New Roman" w:eastAsiaTheme="majorEastAsia"/>
          <w:b/>
          <w:color w:val="auto"/>
          <w:sz w:val="36"/>
          <w:szCs w:val="36"/>
          <w:highlight w:val="none"/>
        </w:rPr>
        <w:fldChar w:fldCharType="begin"/>
      </w:r>
      <w:r>
        <w:rPr>
          <w:rFonts w:ascii="Times New Roman" w:hAnsi="Times New Roman" w:eastAsiaTheme="majorEastAsia"/>
          <w:b/>
          <w:color w:val="auto"/>
          <w:sz w:val="36"/>
          <w:szCs w:val="36"/>
          <w:highlight w:val="none"/>
        </w:rPr>
        <w:instrText xml:space="preserve"> TOC \o "1-2" \h \z \u </w:instrText>
      </w:r>
      <w:r>
        <w:rPr>
          <w:rFonts w:ascii="Times New Roman" w:hAnsi="Times New Roman" w:eastAsiaTheme="majorEastAsia"/>
          <w:b/>
          <w:color w:val="auto"/>
          <w:sz w:val="36"/>
          <w:szCs w:val="36"/>
          <w:highlight w:val="none"/>
        </w:rPr>
        <w:fldChar w:fldCharType="separate"/>
      </w:r>
      <w:r>
        <w:rPr>
          <w:color w:val="auto"/>
          <w:highlight w:val="none"/>
        </w:rPr>
        <w:fldChar w:fldCharType="begin"/>
      </w:r>
      <w:r>
        <w:rPr>
          <w:color w:val="auto"/>
          <w:highlight w:val="none"/>
        </w:rPr>
        <w:instrText xml:space="preserve"> HYPERLINK \l "_Toc15860" </w:instrText>
      </w:r>
      <w:r>
        <w:rPr>
          <w:color w:val="auto"/>
          <w:highlight w:val="none"/>
        </w:rPr>
        <w:fldChar w:fldCharType="separate"/>
      </w:r>
      <w:r>
        <w:rPr>
          <w:rFonts w:ascii="Times New Roman" w:hAnsi="Times New Roman" w:eastAsiaTheme="majorEastAsia"/>
          <w:color w:val="auto"/>
          <w:sz w:val="32"/>
          <w:szCs w:val="40"/>
          <w:highlight w:val="none"/>
        </w:rPr>
        <w:t>第一章 采购公告</w:t>
      </w:r>
      <w:r>
        <w:rPr>
          <w:rFonts w:ascii="Times New Roman" w:hAnsi="Times New Roman" w:eastAsiaTheme="majorEastAsia"/>
          <w:color w:val="auto"/>
          <w:sz w:val="32"/>
          <w:szCs w:val="32"/>
          <w:highlight w:val="none"/>
        </w:rPr>
        <w:tab/>
      </w:r>
      <w:r>
        <w:rPr>
          <w:rFonts w:ascii="Times New Roman" w:hAnsi="Times New Roman" w:eastAsiaTheme="majorEastAsia"/>
          <w:color w:val="auto"/>
          <w:sz w:val="32"/>
          <w:szCs w:val="32"/>
          <w:highlight w:val="none"/>
        </w:rPr>
        <w:fldChar w:fldCharType="begin"/>
      </w:r>
      <w:r>
        <w:rPr>
          <w:rFonts w:ascii="Times New Roman" w:hAnsi="Times New Roman" w:eastAsiaTheme="majorEastAsia"/>
          <w:color w:val="auto"/>
          <w:sz w:val="32"/>
          <w:szCs w:val="32"/>
          <w:highlight w:val="none"/>
        </w:rPr>
        <w:instrText xml:space="preserve"> PAGEREF _Toc15860 </w:instrText>
      </w:r>
      <w:r>
        <w:rPr>
          <w:rFonts w:ascii="Times New Roman" w:hAnsi="Times New Roman" w:eastAsiaTheme="majorEastAsia"/>
          <w:color w:val="auto"/>
          <w:sz w:val="32"/>
          <w:szCs w:val="32"/>
          <w:highlight w:val="none"/>
        </w:rPr>
        <w:fldChar w:fldCharType="separate"/>
      </w:r>
      <w:r>
        <w:rPr>
          <w:rFonts w:ascii="Times New Roman" w:hAnsi="Times New Roman" w:eastAsiaTheme="majorEastAsia"/>
          <w:color w:val="auto"/>
          <w:sz w:val="32"/>
          <w:szCs w:val="32"/>
          <w:highlight w:val="none"/>
        </w:rPr>
        <w:t>2</w:t>
      </w:r>
      <w:r>
        <w:rPr>
          <w:rFonts w:ascii="Times New Roman" w:hAnsi="Times New Roman" w:eastAsiaTheme="majorEastAsia"/>
          <w:color w:val="auto"/>
          <w:sz w:val="32"/>
          <w:szCs w:val="32"/>
          <w:highlight w:val="none"/>
        </w:rPr>
        <w:fldChar w:fldCharType="end"/>
      </w:r>
      <w:r>
        <w:rPr>
          <w:rFonts w:ascii="Times New Roman" w:hAnsi="Times New Roman" w:eastAsiaTheme="majorEastAsia"/>
          <w:color w:val="auto"/>
          <w:sz w:val="32"/>
          <w:szCs w:val="32"/>
          <w:highlight w:val="none"/>
        </w:rPr>
        <w:fldChar w:fldCharType="end"/>
      </w:r>
    </w:p>
    <w:p>
      <w:pPr>
        <w:pStyle w:val="32"/>
        <w:tabs>
          <w:tab w:val="right" w:leader="dot" w:pos="9922"/>
          <w:tab w:val="clear" w:pos="840"/>
          <w:tab w:val="clear" w:pos="8302"/>
        </w:tabs>
        <w:spacing w:line="360" w:lineRule="auto"/>
        <w:rPr>
          <w:rFonts w:ascii="Times New Roman" w:hAnsi="Times New Roman" w:eastAsiaTheme="majorEastAsia"/>
          <w:color w:val="auto"/>
          <w:sz w:val="32"/>
          <w:szCs w:val="32"/>
          <w:highlight w:val="none"/>
        </w:rPr>
      </w:pPr>
      <w:r>
        <w:rPr>
          <w:color w:val="auto"/>
          <w:highlight w:val="none"/>
        </w:rPr>
        <w:fldChar w:fldCharType="begin"/>
      </w:r>
      <w:r>
        <w:rPr>
          <w:color w:val="auto"/>
          <w:highlight w:val="none"/>
        </w:rPr>
        <w:instrText xml:space="preserve"> HYPERLINK \l "_Toc17957" </w:instrText>
      </w:r>
      <w:r>
        <w:rPr>
          <w:color w:val="auto"/>
          <w:highlight w:val="none"/>
        </w:rPr>
        <w:fldChar w:fldCharType="separate"/>
      </w:r>
      <w:r>
        <w:rPr>
          <w:rFonts w:ascii="Times New Roman" w:hAnsi="Times New Roman" w:eastAsiaTheme="majorEastAsia"/>
          <w:color w:val="auto"/>
          <w:sz w:val="32"/>
          <w:szCs w:val="40"/>
          <w:highlight w:val="none"/>
        </w:rPr>
        <w:t>第二章 供应商须知</w:t>
      </w:r>
      <w:r>
        <w:rPr>
          <w:rFonts w:ascii="Times New Roman" w:hAnsi="Times New Roman" w:eastAsiaTheme="majorEastAsia"/>
          <w:color w:val="auto"/>
          <w:sz w:val="32"/>
          <w:szCs w:val="32"/>
          <w:highlight w:val="none"/>
        </w:rPr>
        <w:tab/>
      </w:r>
      <w:r>
        <w:rPr>
          <w:rFonts w:ascii="Times New Roman" w:hAnsi="Times New Roman" w:eastAsiaTheme="majorEastAsia"/>
          <w:color w:val="auto"/>
          <w:sz w:val="32"/>
          <w:szCs w:val="32"/>
          <w:highlight w:val="none"/>
        </w:rPr>
        <w:t>5</w:t>
      </w:r>
      <w:r>
        <w:rPr>
          <w:rFonts w:ascii="Times New Roman" w:hAnsi="Times New Roman" w:eastAsiaTheme="majorEastAsia"/>
          <w:color w:val="auto"/>
          <w:sz w:val="32"/>
          <w:szCs w:val="32"/>
          <w:highlight w:val="none"/>
        </w:rPr>
        <w:fldChar w:fldCharType="end"/>
      </w:r>
    </w:p>
    <w:p>
      <w:pPr>
        <w:pStyle w:val="32"/>
        <w:tabs>
          <w:tab w:val="right" w:leader="dot" w:pos="9922"/>
          <w:tab w:val="clear" w:pos="840"/>
          <w:tab w:val="clear" w:pos="8302"/>
        </w:tabs>
        <w:spacing w:line="360" w:lineRule="auto"/>
        <w:rPr>
          <w:rFonts w:ascii="Times New Roman" w:hAnsi="Times New Roman" w:eastAsiaTheme="majorEastAsia"/>
          <w:color w:val="auto"/>
          <w:sz w:val="32"/>
          <w:szCs w:val="32"/>
          <w:highlight w:val="none"/>
        </w:rPr>
      </w:pPr>
      <w:r>
        <w:rPr>
          <w:color w:val="auto"/>
          <w:highlight w:val="none"/>
        </w:rPr>
        <w:fldChar w:fldCharType="begin"/>
      </w:r>
      <w:r>
        <w:rPr>
          <w:color w:val="auto"/>
          <w:highlight w:val="none"/>
        </w:rPr>
        <w:instrText xml:space="preserve"> HYPERLINK \l "_Toc19140" </w:instrText>
      </w:r>
      <w:r>
        <w:rPr>
          <w:color w:val="auto"/>
          <w:highlight w:val="none"/>
        </w:rPr>
        <w:fldChar w:fldCharType="separate"/>
      </w:r>
      <w:r>
        <w:rPr>
          <w:rFonts w:ascii="Times New Roman" w:hAnsi="Times New Roman" w:eastAsiaTheme="majorEastAsia"/>
          <w:color w:val="auto"/>
          <w:sz w:val="32"/>
          <w:szCs w:val="40"/>
          <w:highlight w:val="none"/>
        </w:rPr>
        <w:t>第三章 供应商应具备的资格条件及应当提供的资格证明材料</w:t>
      </w:r>
      <w:r>
        <w:rPr>
          <w:rFonts w:ascii="Times New Roman" w:hAnsi="Times New Roman" w:eastAsiaTheme="majorEastAsia"/>
          <w:color w:val="auto"/>
          <w:sz w:val="32"/>
          <w:szCs w:val="32"/>
          <w:highlight w:val="none"/>
        </w:rPr>
        <w:tab/>
      </w:r>
      <w:r>
        <w:rPr>
          <w:rFonts w:ascii="Times New Roman" w:hAnsi="Times New Roman" w:eastAsiaTheme="majorEastAsia"/>
          <w:color w:val="auto"/>
          <w:sz w:val="32"/>
          <w:szCs w:val="32"/>
          <w:highlight w:val="none"/>
        </w:rPr>
        <w:t>2</w:t>
      </w:r>
      <w:r>
        <w:rPr>
          <w:rFonts w:ascii="Times New Roman" w:hAnsi="Times New Roman" w:eastAsiaTheme="majorEastAsia"/>
          <w:color w:val="auto"/>
          <w:sz w:val="32"/>
          <w:szCs w:val="32"/>
          <w:highlight w:val="none"/>
        </w:rPr>
        <w:fldChar w:fldCharType="end"/>
      </w:r>
      <w:r>
        <w:rPr>
          <w:rFonts w:hint="eastAsia" w:ascii="Times New Roman" w:hAnsi="Times New Roman" w:eastAsiaTheme="majorEastAsia"/>
          <w:color w:val="auto"/>
          <w:sz w:val="32"/>
          <w:szCs w:val="32"/>
          <w:highlight w:val="none"/>
        </w:rPr>
        <w:t>2</w:t>
      </w:r>
    </w:p>
    <w:p>
      <w:pPr>
        <w:pStyle w:val="32"/>
        <w:tabs>
          <w:tab w:val="right" w:leader="dot" w:pos="9922"/>
          <w:tab w:val="clear" w:pos="840"/>
          <w:tab w:val="clear" w:pos="8302"/>
        </w:tabs>
        <w:spacing w:line="360" w:lineRule="auto"/>
        <w:rPr>
          <w:rFonts w:ascii="Times New Roman" w:hAnsi="Times New Roman" w:eastAsiaTheme="majorEastAsia"/>
          <w:color w:val="auto"/>
          <w:sz w:val="32"/>
          <w:szCs w:val="32"/>
          <w:highlight w:val="none"/>
        </w:rPr>
      </w:pPr>
      <w:r>
        <w:rPr>
          <w:color w:val="auto"/>
          <w:highlight w:val="none"/>
        </w:rPr>
        <w:fldChar w:fldCharType="begin"/>
      </w:r>
      <w:r>
        <w:rPr>
          <w:color w:val="auto"/>
          <w:highlight w:val="none"/>
        </w:rPr>
        <w:instrText xml:space="preserve"> HYPERLINK \l "_Toc18315" </w:instrText>
      </w:r>
      <w:r>
        <w:rPr>
          <w:color w:val="auto"/>
          <w:highlight w:val="none"/>
        </w:rPr>
        <w:fldChar w:fldCharType="separate"/>
      </w:r>
      <w:r>
        <w:rPr>
          <w:rFonts w:ascii="Times New Roman" w:hAnsi="Times New Roman" w:eastAsiaTheme="majorEastAsia"/>
          <w:color w:val="auto"/>
          <w:sz w:val="32"/>
          <w:szCs w:val="40"/>
          <w:highlight w:val="none"/>
        </w:rPr>
        <w:t>第四章 采购项目技术、服条及其他商务要求</w:t>
      </w:r>
      <w:r>
        <w:rPr>
          <w:rFonts w:ascii="Times New Roman" w:hAnsi="Times New Roman" w:eastAsiaTheme="majorEastAsia"/>
          <w:color w:val="auto"/>
          <w:sz w:val="32"/>
          <w:szCs w:val="32"/>
          <w:highlight w:val="none"/>
        </w:rPr>
        <w:tab/>
      </w:r>
      <w:r>
        <w:rPr>
          <w:rFonts w:ascii="Times New Roman" w:hAnsi="Times New Roman" w:eastAsiaTheme="majorEastAsia"/>
          <w:color w:val="auto"/>
          <w:sz w:val="32"/>
          <w:szCs w:val="32"/>
          <w:highlight w:val="none"/>
        </w:rPr>
        <w:fldChar w:fldCharType="begin"/>
      </w:r>
      <w:r>
        <w:rPr>
          <w:rFonts w:ascii="Times New Roman" w:hAnsi="Times New Roman" w:eastAsiaTheme="majorEastAsia"/>
          <w:color w:val="auto"/>
          <w:sz w:val="32"/>
          <w:szCs w:val="32"/>
          <w:highlight w:val="none"/>
        </w:rPr>
        <w:instrText xml:space="preserve"> PAGEREF _Toc18315 </w:instrText>
      </w:r>
      <w:r>
        <w:rPr>
          <w:rFonts w:ascii="Times New Roman" w:hAnsi="Times New Roman" w:eastAsiaTheme="majorEastAsia"/>
          <w:color w:val="auto"/>
          <w:sz w:val="32"/>
          <w:szCs w:val="32"/>
          <w:highlight w:val="none"/>
        </w:rPr>
        <w:fldChar w:fldCharType="separate"/>
      </w:r>
      <w:r>
        <w:rPr>
          <w:rFonts w:ascii="Times New Roman" w:hAnsi="Times New Roman" w:eastAsiaTheme="majorEastAsia"/>
          <w:color w:val="auto"/>
          <w:sz w:val="32"/>
          <w:szCs w:val="32"/>
          <w:highlight w:val="none"/>
        </w:rPr>
        <w:t>24</w:t>
      </w:r>
      <w:r>
        <w:rPr>
          <w:rFonts w:ascii="Times New Roman" w:hAnsi="Times New Roman" w:eastAsiaTheme="majorEastAsia"/>
          <w:color w:val="auto"/>
          <w:sz w:val="32"/>
          <w:szCs w:val="32"/>
          <w:highlight w:val="none"/>
        </w:rPr>
        <w:fldChar w:fldCharType="end"/>
      </w:r>
      <w:r>
        <w:rPr>
          <w:rFonts w:ascii="Times New Roman" w:hAnsi="Times New Roman" w:eastAsiaTheme="majorEastAsia"/>
          <w:color w:val="auto"/>
          <w:sz w:val="32"/>
          <w:szCs w:val="32"/>
          <w:highlight w:val="none"/>
        </w:rPr>
        <w:fldChar w:fldCharType="end"/>
      </w:r>
    </w:p>
    <w:p>
      <w:pPr>
        <w:pStyle w:val="32"/>
        <w:tabs>
          <w:tab w:val="right" w:leader="dot" w:pos="9922"/>
          <w:tab w:val="clear" w:pos="840"/>
          <w:tab w:val="clear" w:pos="8302"/>
        </w:tabs>
        <w:spacing w:line="360" w:lineRule="auto"/>
        <w:rPr>
          <w:rFonts w:ascii="Times New Roman" w:hAnsi="Times New Roman" w:eastAsiaTheme="majorEastAsia"/>
          <w:color w:val="auto"/>
          <w:sz w:val="32"/>
          <w:szCs w:val="32"/>
          <w:highlight w:val="none"/>
        </w:rPr>
      </w:pPr>
      <w:r>
        <w:rPr>
          <w:color w:val="auto"/>
          <w:highlight w:val="none"/>
        </w:rPr>
        <w:fldChar w:fldCharType="begin"/>
      </w:r>
      <w:r>
        <w:rPr>
          <w:color w:val="auto"/>
          <w:highlight w:val="none"/>
        </w:rPr>
        <w:instrText xml:space="preserve"> HYPERLINK \l "_Toc27290" </w:instrText>
      </w:r>
      <w:r>
        <w:rPr>
          <w:color w:val="auto"/>
          <w:highlight w:val="none"/>
        </w:rPr>
        <w:fldChar w:fldCharType="separate"/>
      </w:r>
      <w:r>
        <w:rPr>
          <w:rFonts w:ascii="Times New Roman" w:hAnsi="Times New Roman" w:eastAsiaTheme="majorEastAsia"/>
          <w:color w:val="auto"/>
          <w:sz w:val="32"/>
          <w:szCs w:val="40"/>
          <w:highlight w:val="none"/>
        </w:rPr>
        <w:t>第五章 响应文件格式</w:t>
      </w:r>
      <w:r>
        <w:rPr>
          <w:rFonts w:ascii="Times New Roman" w:hAnsi="Times New Roman" w:eastAsiaTheme="majorEastAsia"/>
          <w:color w:val="auto"/>
          <w:sz w:val="32"/>
          <w:szCs w:val="32"/>
          <w:highlight w:val="none"/>
        </w:rPr>
        <w:tab/>
      </w:r>
      <w:r>
        <w:rPr>
          <w:rFonts w:hint="eastAsia" w:ascii="Times New Roman" w:hAnsi="Times New Roman" w:eastAsiaTheme="majorEastAsia"/>
          <w:color w:val="auto"/>
          <w:sz w:val="32"/>
          <w:szCs w:val="32"/>
          <w:highlight w:val="none"/>
        </w:rPr>
        <w:t>2</w:t>
      </w:r>
      <w:r>
        <w:rPr>
          <w:rFonts w:hint="eastAsia" w:ascii="Times New Roman" w:hAnsi="Times New Roman" w:eastAsiaTheme="majorEastAsia"/>
          <w:color w:val="auto"/>
          <w:sz w:val="32"/>
          <w:szCs w:val="32"/>
          <w:highlight w:val="none"/>
        </w:rPr>
        <w:fldChar w:fldCharType="end"/>
      </w:r>
      <w:r>
        <w:rPr>
          <w:rFonts w:hint="eastAsia" w:ascii="Times New Roman" w:hAnsi="Times New Roman" w:eastAsiaTheme="majorEastAsia"/>
          <w:color w:val="auto"/>
          <w:sz w:val="32"/>
          <w:szCs w:val="32"/>
          <w:highlight w:val="none"/>
        </w:rPr>
        <w:t>9</w:t>
      </w:r>
    </w:p>
    <w:p>
      <w:pPr>
        <w:pStyle w:val="32"/>
        <w:tabs>
          <w:tab w:val="right" w:leader="dot" w:pos="9922"/>
          <w:tab w:val="clear" w:pos="840"/>
          <w:tab w:val="clear" w:pos="8302"/>
        </w:tabs>
        <w:spacing w:line="360" w:lineRule="auto"/>
        <w:rPr>
          <w:rFonts w:ascii="Times New Roman" w:hAnsi="Times New Roman" w:eastAsiaTheme="majorEastAsia"/>
          <w:color w:val="auto"/>
          <w:sz w:val="32"/>
          <w:szCs w:val="32"/>
          <w:highlight w:val="none"/>
        </w:rPr>
      </w:pPr>
      <w:r>
        <w:rPr>
          <w:color w:val="auto"/>
          <w:highlight w:val="none"/>
        </w:rPr>
        <w:fldChar w:fldCharType="begin"/>
      </w:r>
      <w:r>
        <w:rPr>
          <w:color w:val="auto"/>
          <w:highlight w:val="none"/>
        </w:rPr>
        <w:instrText xml:space="preserve"> HYPERLINK \l "_Toc14848" </w:instrText>
      </w:r>
      <w:r>
        <w:rPr>
          <w:color w:val="auto"/>
          <w:highlight w:val="none"/>
        </w:rPr>
        <w:fldChar w:fldCharType="separate"/>
      </w:r>
      <w:r>
        <w:rPr>
          <w:rFonts w:ascii="Times New Roman" w:hAnsi="Times New Roman" w:eastAsiaTheme="majorEastAsia"/>
          <w:bCs/>
          <w:color w:val="auto"/>
          <w:sz w:val="32"/>
          <w:szCs w:val="40"/>
          <w:highlight w:val="none"/>
        </w:rPr>
        <w:t>第六章 评审方法</w:t>
      </w:r>
      <w:r>
        <w:rPr>
          <w:rFonts w:ascii="Times New Roman" w:hAnsi="Times New Roman" w:eastAsiaTheme="majorEastAsia"/>
          <w:color w:val="auto"/>
          <w:sz w:val="32"/>
          <w:szCs w:val="32"/>
          <w:highlight w:val="none"/>
        </w:rPr>
        <w:tab/>
      </w:r>
      <w:r>
        <w:rPr>
          <w:rFonts w:ascii="Times New Roman" w:hAnsi="Times New Roman" w:eastAsiaTheme="majorEastAsia"/>
          <w:color w:val="auto"/>
          <w:sz w:val="32"/>
          <w:szCs w:val="32"/>
          <w:highlight w:val="none"/>
        </w:rPr>
        <w:fldChar w:fldCharType="begin"/>
      </w:r>
      <w:r>
        <w:rPr>
          <w:rFonts w:ascii="Times New Roman" w:hAnsi="Times New Roman" w:eastAsiaTheme="majorEastAsia"/>
          <w:color w:val="auto"/>
          <w:sz w:val="32"/>
          <w:szCs w:val="32"/>
          <w:highlight w:val="none"/>
        </w:rPr>
        <w:instrText xml:space="preserve"> PAGEREF _Toc14848 </w:instrText>
      </w:r>
      <w:r>
        <w:rPr>
          <w:rFonts w:ascii="Times New Roman" w:hAnsi="Times New Roman" w:eastAsiaTheme="majorEastAsia"/>
          <w:color w:val="auto"/>
          <w:sz w:val="32"/>
          <w:szCs w:val="32"/>
          <w:highlight w:val="none"/>
        </w:rPr>
        <w:fldChar w:fldCharType="separate"/>
      </w:r>
      <w:r>
        <w:rPr>
          <w:rFonts w:ascii="Times New Roman" w:hAnsi="Times New Roman" w:eastAsiaTheme="majorEastAsia"/>
          <w:color w:val="auto"/>
          <w:sz w:val="32"/>
          <w:szCs w:val="32"/>
          <w:highlight w:val="none"/>
        </w:rPr>
        <w:t>54</w:t>
      </w:r>
      <w:r>
        <w:rPr>
          <w:rFonts w:ascii="Times New Roman" w:hAnsi="Times New Roman" w:eastAsiaTheme="majorEastAsia"/>
          <w:color w:val="auto"/>
          <w:sz w:val="32"/>
          <w:szCs w:val="32"/>
          <w:highlight w:val="none"/>
        </w:rPr>
        <w:fldChar w:fldCharType="end"/>
      </w:r>
      <w:r>
        <w:rPr>
          <w:rFonts w:ascii="Times New Roman" w:hAnsi="Times New Roman" w:eastAsiaTheme="majorEastAsia"/>
          <w:color w:val="auto"/>
          <w:sz w:val="32"/>
          <w:szCs w:val="32"/>
          <w:highlight w:val="none"/>
        </w:rPr>
        <w:fldChar w:fldCharType="end"/>
      </w:r>
    </w:p>
    <w:p>
      <w:pPr>
        <w:pStyle w:val="32"/>
        <w:tabs>
          <w:tab w:val="right" w:leader="dot" w:pos="9922"/>
          <w:tab w:val="clear" w:pos="840"/>
          <w:tab w:val="clear" w:pos="8302"/>
        </w:tabs>
        <w:spacing w:line="360" w:lineRule="auto"/>
        <w:rPr>
          <w:rFonts w:ascii="Times New Roman" w:hAnsi="Times New Roman" w:eastAsiaTheme="majorEastAsia"/>
          <w:color w:val="auto"/>
          <w:sz w:val="32"/>
          <w:szCs w:val="32"/>
          <w:highlight w:val="none"/>
        </w:rPr>
      </w:pPr>
      <w:r>
        <w:rPr>
          <w:color w:val="auto"/>
          <w:highlight w:val="none"/>
        </w:rPr>
        <w:fldChar w:fldCharType="begin"/>
      </w:r>
      <w:r>
        <w:rPr>
          <w:color w:val="auto"/>
          <w:highlight w:val="none"/>
        </w:rPr>
        <w:instrText xml:space="preserve"> HYPERLINK \l "_Toc19371" </w:instrText>
      </w:r>
      <w:r>
        <w:rPr>
          <w:color w:val="auto"/>
          <w:highlight w:val="none"/>
        </w:rPr>
        <w:fldChar w:fldCharType="separate"/>
      </w:r>
      <w:r>
        <w:rPr>
          <w:rFonts w:ascii="Times New Roman" w:hAnsi="Times New Roman" w:eastAsiaTheme="majorEastAsia"/>
          <w:bCs/>
          <w:color w:val="auto"/>
          <w:sz w:val="32"/>
          <w:szCs w:val="40"/>
          <w:highlight w:val="none"/>
        </w:rPr>
        <w:t>第七章 采购合同书</w:t>
      </w:r>
      <w:r>
        <w:rPr>
          <w:rFonts w:ascii="Times New Roman" w:hAnsi="Times New Roman" w:eastAsiaTheme="majorEastAsia"/>
          <w:color w:val="auto"/>
          <w:sz w:val="32"/>
          <w:szCs w:val="32"/>
          <w:highlight w:val="none"/>
        </w:rPr>
        <w:tab/>
      </w:r>
      <w:r>
        <w:rPr>
          <w:rFonts w:ascii="Times New Roman" w:hAnsi="Times New Roman" w:eastAsiaTheme="majorEastAsia"/>
          <w:color w:val="auto"/>
          <w:sz w:val="32"/>
          <w:szCs w:val="32"/>
          <w:highlight w:val="none"/>
        </w:rPr>
        <w:fldChar w:fldCharType="begin"/>
      </w:r>
      <w:r>
        <w:rPr>
          <w:rFonts w:ascii="Times New Roman" w:hAnsi="Times New Roman" w:eastAsiaTheme="majorEastAsia"/>
          <w:color w:val="auto"/>
          <w:sz w:val="32"/>
          <w:szCs w:val="32"/>
          <w:highlight w:val="none"/>
        </w:rPr>
        <w:instrText xml:space="preserve"> PAGEREF _Toc19371 </w:instrText>
      </w:r>
      <w:r>
        <w:rPr>
          <w:rFonts w:ascii="Times New Roman" w:hAnsi="Times New Roman" w:eastAsiaTheme="majorEastAsia"/>
          <w:color w:val="auto"/>
          <w:sz w:val="32"/>
          <w:szCs w:val="32"/>
          <w:highlight w:val="none"/>
        </w:rPr>
        <w:fldChar w:fldCharType="separate"/>
      </w:r>
      <w:r>
        <w:rPr>
          <w:rFonts w:ascii="Times New Roman" w:hAnsi="Times New Roman" w:eastAsiaTheme="majorEastAsia"/>
          <w:color w:val="auto"/>
          <w:sz w:val="32"/>
          <w:szCs w:val="32"/>
          <w:highlight w:val="none"/>
        </w:rPr>
        <w:t>61</w:t>
      </w:r>
      <w:r>
        <w:rPr>
          <w:rFonts w:ascii="Times New Roman" w:hAnsi="Times New Roman" w:eastAsiaTheme="majorEastAsia"/>
          <w:color w:val="auto"/>
          <w:sz w:val="32"/>
          <w:szCs w:val="32"/>
          <w:highlight w:val="none"/>
        </w:rPr>
        <w:fldChar w:fldCharType="end"/>
      </w:r>
      <w:r>
        <w:rPr>
          <w:rFonts w:ascii="Times New Roman" w:hAnsi="Times New Roman" w:eastAsiaTheme="majorEastAsia"/>
          <w:color w:val="auto"/>
          <w:sz w:val="32"/>
          <w:szCs w:val="32"/>
          <w:highlight w:val="none"/>
        </w:rPr>
        <w:fldChar w:fldCharType="end"/>
      </w:r>
    </w:p>
    <w:p>
      <w:pPr>
        <w:spacing w:line="360" w:lineRule="auto"/>
        <w:jc w:val="center"/>
        <w:rPr>
          <w:rFonts w:ascii="Times New Roman" w:hAnsi="Times New Roman"/>
          <w:b/>
          <w:color w:val="auto"/>
          <w:sz w:val="28"/>
          <w:szCs w:val="28"/>
          <w:highlight w:val="none"/>
        </w:rPr>
        <w:sectPr>
          <w:headerReference r:id="rId4" w:type="first"/>
          <w:headerReference r:id="rId3" w:type="default"/>
          <w:footerReference r:id="rId5" w:type="even"/>
          <w:pgSz w:w="11907" w:h="16840"/>
          <w:pgMar w:top="851" w:right="851" w:bottom="851" w:left="1134" w:header="468" w:footer="992" w:gutter="0"/>
          <w:pgNumType w:start="0"/>
          <w:cols w:space="720" w:num="1"/>
          <w:titlePg/>
          <w:docGrid w:linePitch="312" w:charSpace="0"/>
        </w:sectPr>
      </w:pPr>
      <w:r>
        <w:rPr>
          <w:rFonts w:ascii="Times New Roman" w:hAnsi="Times New Roman" w:eastAsiaTheme="majorEastAsia"/>
          <w:color w:val="auto"/>
          <w:sz w:val="40"/>
          <w:szCs w:val="36"/>
          <w:highlight w:val="none"/>
        </w:rPr>
        <w:fldChar w:fldCharType="end"/>
      </w:r>
    </w:p>
    <w:p>
      <w:pPr>
        <w:numPr>
          <w:ilvl w:val="0"/>
          <w:numId w:val="9"/>
        </w:numPr>
        <w:tabs>
          <w:tab w:val="left" w:pos="425"/>
          <w:tab w:val="left" w:pos="4265"/>
          <w:tab w:val="left" w:pos="5225"/>
        </w:tabs>
        <w:spacing w:line="360" w:lineRule="auto"/>
        <w:jc w:val="center"/>
        <w:outlineLvl w:val="0"/>
        <w:rPr>
          <w:rFonts w:ascii="Times New Roman" w:hAnsi="Times New Roman" w:eastAsia="黑体"/>
          <w:color w:val="auto"/>
          <w:sz w:val="32"/>
          <w:szCs w:val="32"/>
          <w:highlight w:val="none"/>
        </w:rPr>
      </w:pPr>
      <w:bookmarkStart w:id="0" w:name="_Toc15860"/>
      <w:r>
        <w:rPr>
          <w:rFonts w:ascii="Times New Roman" w:hAnsi="Times New Roman" w:eastAsia="黑体"/>
          <w:color w:val="auto"/>
          <w:sz w:val="32"/>
          <w:szCs w:val="32"/>
          <w:highlight w:val="none"/>
        </w:rPr>
        <w:t>采购公告</w:t>
      </w:r>
      <w:bookmarkEnd w:id="0"/>
    </w:p>
    <w:p>
      <w:pPr>
        <w:pBdr>
          <w:top w:val="single" w:color="auto" w:sz="4" w:space="1"/>
          <w:left w:val="single" w:color="auto" w:sz="4" w:space="4"/>
          <w:bottom w:val="single" w:color="auto" w:sz="4" w:space="1"/>
          <w:right w:val="single" w:color="auto" w:sz="4" w:space="4"/>
        </w:pBd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olor w:val="auto"/>
          <w:sz w:val="24"/>
          <w:szCs w:val="24"/>
          <w:highlight w:val="none"/>
          <w:shd w:val="clear" w:color="auto" w:fill="FFFFFF"/>
        </w:rPr>
      </w:pPr>
      <w:r>
        <w:rPr>
          <w:rFonts w:hint="eastAsia" w:ascii="Times New Roman" w:hAnsi="Times New Roman"/>
          <w:color w:val="auto"/>
          <w:sz w:val="24"/>
          <w:szCs w:val="24"/>
          <w:highlight w:val="none"/>
          <w:u w:val="single"/>
          <w:lang w:eastAsia="zh-CN"/>
        </w:rPr>
        <w:t>GJB 5000B换版服务</w:t>
      </w:r>
      <w:r>
        <w:rPr>
          <w:rFonts w:ascii="Times New Roman" w:hAnsi="Times New Roman"/>
          <w:color w:val="auto"/>
          <w:sz w:val="24"/>
          <w:szCs w:val="24"/>
          <w:highlight w:val="none"/>
        </w:rPr>
        <w:t>采购项目的潜在供应商应在</w:t>
      </w:r>
      <w:r>
        <w:rPr>
          <w:rFonts w:ascii="Times New Roman" w:hAnsi="Times New Roman"/>
          <w:color w:val="auto"/>
          <w:sz w:val="24"/>
          <w:szCs w:val="24"/>
          <w:highlight w:val="none"/>
          <w:u w:val="single"/>
        </w:rPr>
        <w:t>四川省绵阳市绵山路64号华庭酒店3楼</w:t>
      </w:r>
      <w:r>
        <w:rPr>
          <w:rFonts w:ascii="Times New Roman" w:hAnsi="Times New Roman"/>
          <w:color w:val="auto"/>
          <w:sz w:val="24"/>
          <w:szCs w:val="24"/>
          <w:highlight w:val="none"/>
        </w:rPr>
        <w:t>获取采购文件，并于</w:t>
      </w:r>
      <w:r>
        <w:rPr>
          <w:rFonts w:ascii="Times New Roman" w:hAnsi="Times New Roman"/>
          <w:color w:val="auto"/>
          <w:sz w:val="24"/>
          <w:szCs w:val="24"/>
          <w:highlight w:val="none"/>
          <w:u w:val="single"/>
          <w:shd w:val="clear" w:color="auto" w:fill="FFFFFF"/>
        </w:rPr>
        <w:t>202</w:t>
      </w:r>
      <w:r>
        <w:rPr>
          <w:rFonts w:hint="eastAsia" w:ascii="Times New Roman" w:hAnsi="Times New Roman"/>
          <w:color w:val="auto"/>
          <w:sz w:val="24"/>
          <w:szCs w:val="24"/>
          <w:highlight w:val="none"/>
          <w:u w:val="single"/>
          <w:shd w:val="clear" w:color="auto" w:fill="FFFFFF"/>
        </w:rPr>
        <w:t>2</w:t>
      </w:r>
      <w:r>
        <w:rPr>
          <w:rFonts w:ascii="Times New Roman" w:hAnsi="Times New Roman"/>
          <w:color w:val="auto"/>
          <w:sz w:val="24"/>
          <w:szCs w:val="24"/>
          <w:highlight w:val="none"/>
          <w:shd w:val="clear" w:color="auto" w:fill="FFFFFF"/>
        </w:rPr>
        <w:t>年</w:t>
      </w:r>
      <w:r>
        <w:rPr>
          <w:rFonts w:hint="eastAsia" w:ascii="Times New Roman" w:hAnsi="Times New Roman"/>
          <w:color w:val="auto"/>
          <w:sz w:val="24"/>
          <w:szCs w:val="24"/>
          <w:highlight w:val="none"/>
          <w:u w:val="single"/>
          <w:shd w:val="clear" w:color="auto" w:fill="FFFFFF"/>
          <w:lang w:val="en-US" w:eastAsia="zh-CN"/>
        </w:rPr>
        <w:t>8</w:t>
      </w:r>
      <w:r>
        <w:rPr>
          <w:rFonts w:ascii="Times New Roman" w:hAnsi="Times New Roman"/>
          <w:color w:val="auto"/>
          <w:sz w:val="24"/>
          <w:szCs w:val="24"/>
          <w:highlight w:val="none"/>
          <w:shd w:val="clear" w:color="auto" w:fill="FFFFFF"/>
        </w:rPr>
        <w:t>月</w:t>
      </w:r>
      <w:r>
        <w:rPr>
          <w:rFonts w:hint="eastAsia" w:ascii="Times New Roman" w:hAnsi="Times New Roman"/>
          <w:color w:val="auto"/>
          <w:sz w:val="24"/>
          <w:szCs w:val="24"/>
          <w:highlight w:val="none"/>
          <w:u w:val="single"/>
          <w:shd w:val="clear" w:color="auto" w:fill="FFFFFF"/>
          <w:lang w:val="en-US" w:eastAsia="zh-CN"/>
        </w:rPr>
        <w:t>29</w:t>
      </w:r>
      <w:r>
        <w:rPr>
          <w:rFonts w:ascii="Times New Roman" w:hAnsi="Times New Roman"/>
          <w:color w:val="auto"/>
          <w:sz w:val="24"/>
          <w:szCs w:val="24"/>
          <w:highlight w:val="none"/>
          <w:shd w:val="clear" w:color="auto" w:fill="FFFFFF"/>
        </w:rPr>
        <w:t>日</w:t>
      </w:r>
      <w:r>
        <w:rPr>
          <w:rFonts w:hint="eastAsia" w:ascii="Times New Roman" w:hAnsi="Times New Roman"/>
          <w:color w:val="auto"/>
          <w:sz w:val="24"/>
          <w:szCs w:val="24"/>
          <w:highlight w:val="none"/>
          <w:u w:val="single"/>
          <w:shd w:val="clear" w:color="auto" w:fill="FFFFFF"/>
          <w:lang w:val="en-US" w:eastAsia="zh-CN"/>
        </w:rPr>
        <w:t>09</w:t>
      </w:r>
      <w:r>
        <w:rPr>
          <w:rFonts w:ascii="Times New Roman" w:hAnsi="Times New Roman"/>
          <w:color w:val="auto"/>
          <w:sz w:val="24"/>
          <w:szCs w:val="24"/>
          <w:highlight w:val="none"/>
          <w:shd w:val="clear" w:color="auto" w:fill="FFFFFF"/>
        </w:rPr>
        <w:t>点</w:t>
      </w:r>
      <w:r>
        <w:rPr>
          <w:rFonts w:hint="eastAsia" w:ascii="Times New Roman" w:hAnsi="Times New Roman"/>
          <w:color w:val="auto"/>
          <w:sz w:val="24"/>
          <w:szCs w:val="24"/>
          <w:highlight w:val="none"/>
          <w:u w:val="single"/>
          <w:shd w:val="clear" w:color="auto" w:fill="FFFFFF"/>
          <w:lang w:val="en-US" w:eastAsia="zh-CN"/>
        </w:rPr>
        <w:t>30</w:t>
      </w:r>
      <w:r>
        <w:rPr>
          <w:rFonts w:ascii="Times New Roman" w:hAnsi="Times New Roman"/>
          <w:color w:val="auto"/>
          <w:sz w:val="24"/>
          <w:szCs w:val="24"/>
          <w:highlight w:val="none"/>
          <w:shd w:val="clear" w:color="auto" w:fill="FFFFFF"/>
        </w:rPr>
        <w:t>分</w:t>
      </w:r>
      <w:r>
        <w:rPr>
          <w:rFonts w:ascii="Times New Roman" w:hAnsi="Times New Roman"/>
          <w:bCs/>
          <w:color w:val="auto"/>
          <w:sz w:val="24"/>
          <w:szCs w:val="24"/>
          <w:highlight w:val="none"/>
        </w:rPr>
        <w:t>（北京时间）前提交响应文件</w:t>
      </w:r>
      <w:r>
        <w:rPr>
          <w:rFonts w:ascii="Times New Roman" w:hAnsi="Times New Roman"/>
          <w:color w:val="auto"/>
          <w:sz w:val="24"/>
          <w:szCs w:val="24"/>
          <w:highlight w:val="none"/>
        </w:rPr>
        <w:t>。</w:t>
      </w:r>
    </w:p>
    <w:p>
      <w:pPr>
        <w:pStyle w:val="41"/>
        <w:spacing w:before="0" w:beforeAutospacing="0" w:after="0" w:afterAutospacing="0" w:line="360" w:lineRule="auto"/>
        <w:textAlignment w:val="baseline"/>
        <w:rPr>
          <w:rStyle w:val="49"/>
          <w:rFonts w:ascii="Times New Roman" w:hAnsi="Times New Roman" w:cs="Times New Roman"/>
          <w:color w:val="auto"/>
          <w:highlight w:val="none"/>
          <w:shd w:val="clear" w:color="auto" w:fill="FFFFFF"/>
        </w:rPr>
      </w:pP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Style w:val="49"/>
          <w:rFonts w:ascii="Times New Roman" w:hAnsi="Times New Roman" w:cs="Times New Roman"/>
          <w:color w:val="auto"/>
          <w:highlight w:val="none"/>
          <w:shd w:val="clear" w:color="auto" w:fill="FFFFFF"/>
        </w:rPr>
        <w:t>一、项目基本情况</w:t>
      </w:r>
    </w:p>
    <w:p>
      <w:pPr>
        <w:pStyle w:val="41"/>
        <w:spacing w:before="0" w:beforeAutospacing="0" w:after="0" w:afterAutospacing="0" w:line="360" w:lineRule="auto"/>
        <w:textAlignment w:val="baseline"/>
        <w:rPr>
          <w:rFonts w:hint="eastAsia" w:ascii="Times New Roman" w:hAnsi="Times New Roman" w:eastAsia="宋体" w:cs="Times New Roman"/>
          <w:color w:val="auto"/>
          <w:sz w:val="24"/>
          <w:szCs w:val="24"/>
          <w:highlight w:val="none"/>
          <w:lang w:eastAsia="zh-CN"/>
        </w:rPr>
      </w:pPr>
      <w:r>
        <w:rPr>
          <w:rFonts w:ascii="Times New Roman" w:hAnsi="Times New Roman" w:cs="Times New Roman"/>
          <w:color w:val="auto"/>
          <w:sz w:val="24"/>
          <w:szCs w:val="24"/>
          <w:highlight w:val="none"/>
          <w:shd w:val="clear" w:color="auto" w:fill="FFFFFF"/>
        </w:rPr>
        <w:t>项目编号：</w:t>
      </w:r>
      <w:r>
        <w:rPr>
          <w:rFonts w:hint="eastAsia" w:ascii="Times New Roman" w:hAnsi="Times New Roman" w:cs="Times New Roman"/>
          <w:color w:val="auto"/>
          <w:sz w:val="24"/>
          <w:szCs w:val="24"/>
          <w:highlight w:val="none"/>
          <w:shd w:val="clear" w:color="auto" w:fill="FFFFFF"/>
          <w:lang w:eastAsia="zh-CN"/>
        </w:rPr>
        <w:t>0747-2261SCCMY631</w:t>
      </w:r>
    </w:p>
    <w:p>
      <w:pPr>
        <w:pStyle w:val="41"/>
        <w:spacing w:before="0" w:beforeAutospacing="0" w:after="0" w:afterAutospacing="0" w:line="360" w:lineRule="auto"/>
        <w:textAlignment w:val="baseline"/>
        <w:rPr>
          <w:rFonts w:hint="eastAsia" w:ascii="Times New Roman" w:hAnsi="Times New Roman" w:eastAsia="宋体" w:cs="Times New Roman"/>
          <w:color w:val="auto"/>
          <w:sz w:val="24"/>
          <w:szCs w:val="24"/>
          <w:highlight w:val="none"/>
          <w:lang w:eastAsia="zh-CN"/>
        </w:rPr>
      </w:pPr>
      <w:r>
        <w:rPr>
          <w:rFonts w:ascii="Times New Roman" w:hAnsi="Times New Roman" w:cs="Times New Roman"/>
          <w:color w:val="auto"/>
          <w:sz w:val="24"/>
          <w:szCs w:val="24"/>
          <w:highlight w:val="none"/>
          <w:shd w:val="clear" w:color="auto" w:fill="FFFFFF"/>
        </w:rPr>
        <w:t>项目名称：</w:t>
      </w:r>
      <w:r>
        <w:rPr>
          <w:rFonts w:hint="eastAsia" w:ascii="Times New Roman" w:hAnsi="Times New Roman" w:cs="Times New Roman"/>
          <w:color w:val="auto"/>
          <w:sz w:val="24"/>
          <w:szCs w:val="24"/>
          <w:highlight w:val="none"/>
          <w:shd w:val="clear" w:color="auto" w:fill="FFFFFF"/>
          <w:lang w:eastAsia="zh-CN"/>
        </w:rPr>
        <w:t>GJB 5000B换版服务</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采购方式：竞争性磋商</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预算金额：</w:t>
      </w:r>
      <w:r>
        <w:rPr>
          <w:rFonts w:hint="eastAsia" w:ascii="Times New Roman" w:hAnsi="Times New Roman" w:cs="Times New Roman"/>
          <w:color w:val="auto"/>
          <w:sz w:val="24"/>
          <w:szCs w:val="24"/>
          <w:highlight w:val="none"/>
          <w:shd w:val="clear" w:color="auto" w:fill="FFFFFF"/>
          <w:lang w:val="en-US" w:eastAsia="zh-CN"/>
        </w:rPr>
        <w:t>140万元</w:t>
      </w:r>
      <w:r>
        <w:rPr>
          <w:rFonts w:ascii="Times New Roman" w:hAnsi="Times New Roman" w:cs="Times New Roman"/>
          <w:color w:val="auto"/>
          <w:sz w:val="24"/>
          <w:szCs w:val="24"/>
          <w:highlight w:val="none"/>
          <w:shd w:val="clear" w:color="auto" w:fill="FFFFFF"/>
        </w:rPr>
        <w:t>（人民币）。</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最高限价：</w:t>
      </w:r>
      <w:r>
        <w:rPr>
          <w:rFonts w:hint="eastAsia" w:ascii="Times New Roman" w:hAnsi="Times New Roman" w:cs="Times New Roman"/>
          <w:color w:val="auto"/>
          <w:sz w:val="24"/>
          <w:szCs w:val="24"/>
          <w:highlight w:val="none"/>
          <w:shd w:val="clear" w:color="auto" w:fill="FFFFFF"/>
          <w:lang w:val="en-US" w:eastAsia="zh-CN"/>
        </w:rPr>
        <w:t>140万元</w:t>
      </w:r>
      <w:r>
        <w:rPr>
          <w:rFonts w:ascii="Times New Roman" w:hAnsi="Times New Roman" w:cs="Times New Roman"/>
          <w:color w:val="auto"/>
          <w:sz w:val="24"/>
          <w:szCs w:val="24"/>
          <w:highlight w:val="none"/>
          <w:shd w:val="clear" w:color="auto" w:fill="FFFFFF"/>
        </w:rPr>
        <w:t>（人民币）。</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shd w:val="clear" w:color="auto" w:fill="FFFFFF"/>
        </w:rPr>
      </w:pPr>
      <w:r>
        <w:rPr>
          <w:rFonts w:ascii="Times New Roman" w:hAnsi="Times New Roman" w:cs="Times New Roman"/>
          <w:color w:val="auto"/>
          <w:sz w:val="24"/>
          <w:szCs w:val="24"/>
          <w:highlight w:val="none"/>
          <w:shd w:val="clear" w:color="auto" w:fill="FFFFFF"/>
        </w:rPr>
        <w:t>采购需求：</w:t>
      </w:r>
    </w:p>
    <w:p>
      <w:pPr>
        <w:pStyle w:val="2"/>
        <w:numPr>
          <w:ilvl w:val="0"/>
          <w:numId w:val="10"/>
        </w:numPr>
        <w:spacing w:after="0" w:line="360" w:lineRule="auto"/>
        <w:rPr>
          <w:rFonts w:ascii="Times New Roman" w:hAnsi="Times New Roman" w:eastAsia="宋体" w:cs="Times New Roman"/>
          <w:color w:val="auto"/>
          <w:sz w:val="24"/>
          <w:szCs w:val="24"/>
          <w:highlight w:val="none"/>
          <w:shd w:val="clear" w:color="auto" w:fill="FFFFFF"/>
          <w:lang w:val="en-US" w:eastAsia="zh-CN" w:bidi="ar-SA"/>
        </w:rPr>
      </w:pPr>
      <w:r>
        <w:rPr>
          <w:rFonts w:hint="eastAsia" w:ascii="Times New Roman" w:hAnsi="Times New Roman" w:eastAsia="宋体" w:cs="Times New Roman"/>
          <w:color w:val="auto"/>
          <w:sz w:val="24"/>
          <w:szCs w:val="24"/>
          <w:highlight w:val="none"/>
          <w:shd w:val="clear" w:color="auto" w:fill="FFFFFF"/>
          <w:lang w:val="en-US" w:eastAsia="zh-CN" w:bidi="ar-SA"/>
        </w:rPr>
        <w:t>简要</w:t>
      </w:r>
      <w:r>
        <w:rPr>
          <w:rFonts w:hint="eastAsia" w:ascii="Times New Roman" w:cs="Times New Roman"/>
          <w:color w:val="auto"/>
          <w:sz w:val="24"/>
          <w:szCs w:val="24"/>
          <w:highlight w:val="none"/>
          <w:shd w:val="clear" w:color="auto" w:fill="FFFFFF"/>
          <w:lang w:val="en-US" w:eastAsia="zh-CN" w:bidi="ar-SA"/>
        </w:rPr>
        <w:t>概况</w:t>
      </w:r>
      <w:r>
        <w:rPr>
          <w:rFonts w:hint="eastAsia" w:ascii="Times New Roman" w:hAnsi="Times New Roman" w:eastAsia="宋体" w:cs="Times New Roman"/>
          <w:color w:val="auto"/>
          <w:sz w:val="24"/>
          <w:szCs w:val="24"/>
          <w:highlight w:val="none"/>
          <w:shd w:val="clear" w:color="auto" w:fill="FFFFFF"/>
          <w:lang w:val="en-US" w:eastAsia="zh-CN" w:bidi="ar-SA"/>
        </w:rPr>
        <w:t>：</w:t>
      </w:r>
      <w:r>
        <w:rPr>
          <w:rStyle w:val="296"/>
          <w:rFonts w:hint="eastAsia"/>
          <w:sz w:val="24"/>
          <w:highlight w:val="none"/>
        </w:rPr>
        <w:t>本项目需供应商</w:t>
      </w:r>
      <w:r>
        <w:rPr>
          <w:rStyle w:val="296"/>
          <w:rFonts w:hint="eastAsia"/>
          <w:sz w:val="24"/>
          <w:highlight w:val="none"/>
          <w:lang w:eastAsia="zh-Hans"/>
        </w:rPr>
        <w:t>向</w:t>
      </w:r>
      <w:r>
        <w:rPr>
          <w:rStyle w:val="296"/>
          <w:rFonts w:hint="eastAsia"/>
          <w:sz w:val="24"/>
          <w:highlight w:val="none"/>
          <w:lang w:eastAsia="zh-CN"/>
        </w:rPr>
        <w:t>采购人</w:t>
      </w:r>
      <w:r>
        <w:rPr>
          <w:rStyle w:val="296"/>
          <w:rFonts w:hint="eastAsia"/>
          <w:sz w:val="24"/>
          <w:highlight w:val="none"/>
          <w:lang w:eastAsia="zh-Hans"/>
        </w:rPr>
        <w:t>提供</w:t>
      </w:r>
      <w:r>
        <w:rPr>
          <w:rStyle w:val="296"/>
          <w:sz w:val="24"/>
          <w:highlight w:val="none"/>
        </w:rPr>
        <w:t>GJB 5000B</w:t>
      </w:r>
      <w:r>
        <w:rPr>
          <w:rStyle w:val="296"/>
          <w:rFonts w:hint="eastAsia"/>
          <w:sz w:val="24"/>
          <w:highlight w:val="none"/>
          <w:lang w:eastAsia="zh-Hans"/>
        </w:rPr>
        <w:t>换版咨询服务</w:t>
      </w:r>
      <w:r>
        <w:rPr>
          <w:rStyle w:val="296"/>
          <w:sz w:val="24"/>
          <w:highlight w:val="none"/>
          <w:lang w:eastAsia="zh-Hans"/>
        </w:rPr>
        <w:t>，</w:t>
      </w:r>
      <w:r>
        <w:rPr>
          <w:rStyle w:val="296"/>
          <w:rFonts w:hint="eastAsia"/>
          <w:sz w:val="24"/>
          <w:highlight w:val="none"/>
          <w:lang w:eastAsia="zh-Hans"/>
        </w:rPr>
        <w:t>提供一套与体系要求一致的软件管理平台</w:t>
      </w:r>
      <w:r>
        <w:rPr>
          <w:rStyle w:val="296"/>
          <w:sz w:val="24"/>
          <w:highlight w:val="none"/>
          <w:lang w:eastAsia="zh-Hans"/>
        </w:rPr>
        <w:t>，</w:t>
      </w:r>
      <w:r>
        <w:rPr>
          <w:rStyle w:val="296"/>
          <w:rFonts w:hint="eastAsia"/>
          <w:sz w:val="24"/>
          <w:highlight w:val="none"/>
          <w:lang w:eastAsia="zh-Hans"/>
        </w:rPr>
        <w:t>提供一套适配于软件管理平台的服务器</w:t>
      </w:r>
      <w:r>
        <w:rPr>
          <w:rStyle w:val="296"/>
          <w:sz w:val="24"/>
          <w:highlight w:val="none"/>
          <w:lang w:eastAsia="zh-Hans"/>
        </w:rPr>
        <w:t>、</w:t>
      </w:r>
      <w:r>
        <w:rPr>
          <w:rStyle w:val="296"/>
          <w:rFonts w:hint="eastAsia"/>
          <w:sz w:val="24"/>
          <w:highlight w:val="none"/>
          <w:lang w:eastAsia="zh-Hans"/>
        </w:rPr>
        <w:t>操作系统</w:t>
      </w:r>
      <w:r>
        <w:rPr>
          <w:rStyle w:val="296"/>
          <w:sz w:val="24"/>
          <w:highlight w:val="none"/>
          <w:lang w:eastAsia="zh-Hans"/>
        </w:rPr>
        <w:t>、</w:t>
      </w:r>
      <w:r>
        <w:rPr>
          <w:rStyle w:val="296"/>
          <w:rFonts w:hint="eastAsia"/>
          <w:sz w:val="24"/>
          <w:highlight w:val="none"/>
          <w:lang w:eastAsia="zh-Hans"/>
        </w:rPr>
        <w:t>数据库软件</w:t>
      </w:r>
      <w:r>
        <w:rPr>
          <w:rFonts w:hint="eastAsia" w:ascii="Arial" w:hAnsi="Arial" w:eastAsia="宋体" w:cs="Arial"/>
          <w:color w:val="auto"/>
          <w:sz w:val="24"/>
          <w:highlight w:val="none"/>
        </w:rPr>
        <w:t>。</w:t>
      </w:r>
      <w:r>
        <w:rPr>
          <w:rFonts w:hint="eastAsia" w:ascii="宋体" w:hAnsi="宋体" w:cs="宋体"/>
          <w:color w:val="auto"/>
          <w:sz w:val="24"/>
          <w:szCs w:val="24"/>
          <w:highlight w:val="none"/>
          <w:shd w:val="clear" w:color="auto" w:fill="FFFFFF"/>
        </w:rPr>
        <w:t>详见磋商文件第四章</w:t>
      </w:r>
      <w:r>
        <w:rPr>
          <w:rFonts w:hint="eastAsia" w:ascii="Times New Roman" w:hAnsi="Times New Roman" w:eastAsia="宋体" w:cs="Times New Roman"/>
          <w:color w:val="auto"/>
          <w:sz w:val="24"/>
          <w:szCs w:val="24"/>
          <w:highlight w:val="none"/>
          <w:shd w:val="clear" w:color="auto" w:fill="FFFFFF"/>
          <w:lang w:val="en-US" w:eastAsia="zh-CN" w:bidi="ar-SA"/>
        </w:rPr>
        <w:t>。</w:t>
      </w:r>
    </w:p>
    <w:p>
      <w:pPr>
        <w:pStyle w:val="2"/>
        <w:numPr>
          <w:ilvl w:val="255"/>
          <w:numId w:val="0"/>
        </w:numPr>
        <w:spacing w:after="0" w:line="360" w:lineRule="auto"/>
        <w:rPr>
          <w:color w:val="auto"/>
          <w:sz w:val="24"/>
          <w:highlight w:val="none"/>
        </w:rPr>
      </w:pPr>
      <w:r>
        <w:rPr>
          <w:rFonts w:hint="eastAsia" w:hAnsi="宋体" w:cs="宋体"/>
          <w:color w:val="auto"/>
          <w:sz w:val="24"/>
          <w:highlight w:val="none"/>
          <w:shd w:val="clear" w:color="auto" w:fill="FFFFFF"/>
        </w:rPr>
        <w:t>（2）★</w:t>
      </w:r>
      <w:r>
        <w:rPr>
          <w:rFonts w:hint="eastAsia"/>
          <w:color w:val="auto"/>
          <w:sz w:val="24"/>
          <w:highlight w:val="none"/>
          <w:shd w:val="clear" w:color="auto" w:fill="FFFFFF"/>
          <w:lang w:eastAsia="zh-CN"/>
        </w:rPr>
        <w:t>服务（交付）地点</w:t>
      </w:r>
      <w:r>
        <w:rPr>
          <w:rFonts w:hint="eastAsia"/>
          <w:color w:val="auto"/>
          <w:sz w:val="24"/>
          <w:highlight w:val="none"/>
          <w:shd w:val="clear" w:color="auto" w:fill="FFFFFF"/>
        </w:rPr>
        <w:t>：</w:t>
      </w:r>
      <w:r>
        <w:rPr>
          <w:rFonts w:hint="eastAsia" w:cs="宋体"/>
          <w:color w:val="auto"/>
          <w:sz w:val="24"/>
          <w:szCs w:val="24"/>
          <w:highlight w:val="none"/>
          <w:lang w:eastAsia="zh-CN"/>
        </w:rPr>
        <w:t>绵阳市采购人指定地点。</w:t>
      </w:r>
    </w:p>
    <w:p>
      <w:pPr>
        <w:pStyle w:val="41"/>
        <w:spacing w:before="0" w:beforeAutospacing="0" w:after="0" w:afterAutospacing="0" w:line="360" w:lineRule="auto"/>
        <w:textAlignment w:val="baseline"/>
        <w:rPr>
          <w:rFonts w:hint="eastAsia"/>
          <w:color w:val="auto"/>
          <w:sz w:val="24"/>
          <w:szCs w:val="24"/>
          <w:highlight w:val="none"/>
          <w:lang w:eastAsia="zh-CN"/>
        </w:rPr>
      </w:pPr>
      <w:r>
        <w:rPr>
          <w:rFonts w:hint="eastAsia"/>
          <w:color w:val="auto"/>
          <w:spacing w:val="-4"/>
          <w:sz w:val="24"/>
          <w:highlight w:val="none"/>
        </w:rPr>
        <w:t>★</w:t>
      </w:r>
      <w:r>
        <w:rPr>
          <w:rFonts w:hint="eastAsia"/>
          <w:color w:val="auto"/>
          <w:spacing w:val="-4"/>
          <w:sz w:val="24"/>
          <w:highlight w:val="none"/>
          <w:lang w:eastAsia="zh-CN"/>
        </w:rPr>
        <w:t>合同履行期限</w:t>
      </w:r>
      <w:r>
        <w:rPr>
          <w:color w:val="auto"/>
          <w:spacing w:val="-4"/>
          <w:sz w:val="24"/>
          <w:highlight w:val="none"/>
        </w:rPr>
        <w:t>：</w:t>
      </w:r>
      <w:r>
        <w:rPr>
          <w:rFonts w:hint="eastAsia"/>
          <w:color w:val="auto"/>
          <w:sz w:val="24"/>
          <w:szCs w:val="24"/>
          <w:highlight w:val="none"/>
          <w:lang w:eastAsia="zh-CN"/>
        </w:rPr>
        <w:t>本项目以采购人通过GJB 5000B换版认证为最终交付节点。</w:t>
      </w:r>
    </w:p>
    <w:p>
      <w:pPr>
        <w:pStyle w:val="41"/>
        <w:spacing w:before="0" w:beforeAutospacing="0" w:after="0" w:afterAutospacing="0" w:line="360" w:lineRule="auto"/>
        <w:textAlignment w:val="baseline"/>
        <w:rPr>
          <w:rFonts w:hint="eastAsia"/>
          <w:color w:val="auto"/>
          <w:sz w:val="24"/>
          <w:szCs w:val="24"/>
          <w:highlight w:val="none"/>
          <w:lang w:eastAsia="zh-CN"/>
        </w:rPr>
      </w:pPr>
      <w:r>
        <w:rPr>
          <w:rFonts w:hint="eastAsia" w:ascii="宋体" w:hAnsi="宋体" w:cs="宋体"/>
          <w:sz w:val="24"/>
          <w:szCs w:val="24"/>
          <w:highlight w:val="none"/>
          <w:shd w:val="clear" w:color="auto" w:fill="FFFFFF"/>
        </w:rPr>
        <w:t>本项目不接受联合体投标。</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Style w:val="49"/>
          <w:rFonts w:ascii="Times New Roman" w:hAnsi="Times New Roman" w:cs="Times New Roman"/>
          <w:color w:val="auto"/>
          <w:highlight w:val="none"/>
          <w:shd w:val="clear" w:color="auto" w:fill="FFFFFF"/>
        </w:rPr>
        <w:t>二、申请人的资格要求：</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1.满足《中华人民共和国政府采购法》第二十二条规定；</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shd w:val="clear" w:color="auto" w:fill="FFFFFF"/>
        </w:rPr>
      </w:pPr>
      <w:r>
        <w:rPr>
          <w:rFonts w:ascii="Times New Roman" w:hAnsi="Times New Roman" w:cs="Times New Roman"/>
          <w:color w:val="auto"/>
          <w:sz w:val="24"/>
          <w:szCs w:val="24"/>
          <w:highlight w:val="none"/>
          <w:shd w:val="clear" w:color="auto" w:fill="FFFFFF"/>
        </w:rPr>
        <w:t>2.落实政府采购政策需满足的资格要求：</w:t>
      </w:r>
      <w:r>
        <w:rPr>
          <w:rFonts w:hint="eastAsia" w:ascii="Times New Roman" w:hAnsi="Times New Roman" w:cs="Times New Roman"/>
          <w:color w:val="auto"/>
          <w:sz w:val="24"/>
          <w:szCs w:val="24"/>
          <w:highlight w:val="none"/>
          <w:shd w:val="clear" w:color="auto" w:fill="FFFFFF"/>
        </w:rPr>
        <w:t>本项目</w:t>
      </w:r>
      <w:r>
        <w:rPr>
          <w:rFonts w:hint="eastAsia" w:ascii="Times New Roman" w:hAnsi="Times New Roman" w:cs="Times New Roman"/>
          <w:color w:val="auto"/>
          <w:sz w:val="24"/>
          <w:szCs w:val="24"/>
          <w:highlight w:val="none"/>
          <w:shd w:val="clear" w:color="auto" w:fill="FFFFFF"/>
          <w:lang w:eastAsia="zh-CN"/>
        </w:rPr>
        <w:t>为</w:t>
      </w:r>
      <w:r>
        <w:rPr>
          <w:rFonts w:hint="eastAsia" w:ascii="Times New Roman" w:hAnsi="Times New Roman" w:cs="Times New Roman"/>
          <w:color w:val="auto"/>
          <w:sz w:val="24"/>
          <w:szCs w:val="24"/>
          <w:highlight w:val="none"/>
          <w:shd w:val="clear" w:color="auto" w:fill="FFFFFF"/>
        </w:rPr>
        <w:t>专门面向中小企业采购（监狱企业、残疾人福利性单位均视同小微企业）</w:t>
      </w:r>
      <w:r>
        <w:rPr>
          <w:rFonts w:ascii="Times New Roman" w:hAnsi="Times New Roman" w:cs="Times New Roman"/>
          <w:color w:val="auto"/>
          <w:sz w:val="24"/>
          <w:szCs w:val="24"/>
          <w:highlight w:val="none"/>
          <w:shd w:val="clear" w:color="auto" w:fill="FFFFFF"/>
        </w:rPr>
        <w:t>。</w:t>
      </w:r>
    </w:p>
    <w:p>
      <w:pPr>
        <w:pStyle w:val="41"/>
        <w:numPr>
          <w:ilvl w:val="0"/>
          <w:numId w:val="11"/>
        </w:numPr>
        <w:spacing w:before="0" w:beforeAutospacing="0" w:after="0" w:afterAutospacing="0" w:line="360" w:lineRule="auto"/>
        <w:textAlignment w:val="baseline"/>
        <w:rPr>
          <w:rFonts w:ascii="Times New Roman" w:hAnsi="Times New Roman" w:cs="Times New Roman"/>
          <w:color w:val="auto"/>
          <w:sz w:val="24"/>
          <w:szCs w:val="24"/>
          <w:highlight w:val="none"/>
          <w:shd w:val="clear" w:color="auto" w:fill="FFFFFF"/>
        </w:rPr>
      </w:pPr>
      <w:r>
        <w:rPr>
          <w:rFonts w:ascii="Times New Roman" w:hAnsi="Times New Roman" w:cs="Times New Roman"/>
          <w:color w:val="auto"/>
          <w:sz w:val="24"/>
          <w:szCs w:val="24"/>
          <w:highlight w:val="none"/>
          <w:shd w:val="clear" w:color="auto" w:fill="FFFFFF"/>
        </w:rPr>
        <w:t>本项目的特定资格要求：</w:t>
      </w:r>
    </w:p>
    <w:p>
      <w:pPr>
        <w:pStyle w:val="41"/>
        <w:numPr>
          <w:ilvl w:val="1"/>
          <w:numId w:val="11"/>
        </w:numPr>
        <w:spacing w:before="0" w:beforeAutospacing="0" w:after="0" w:afterAutospacing="0" w:line="360" w:lineRule="auto"/>
        <w:textAlignment w:val="baseline"/>
        <w:rPr>
          <w:rFonts w:ascii="Times New Roman" w:hAnsi="Times New Roman" w:cs="Times New Roman"/>
          <w:color w:val="auto"/>
          <w:sz w:val="24"/>
          <w:szCs w:val="24"/>
          <w:highlight w:val="none"/>
          <w:shd w:val="clear" w:color="auto" w:fill="FFFFFF"/>
        </w:rPr>
      </w:pPr>
      <w:r>
        <w:rPr>
          <w:rFonts w:ascii="Times New Roman" w:hAnsi="Times New Roman" w:cs="Times New Roman"/>
          <w:color w:val="auto"/>
          <w:sz w:val="24"/>
          <w:szCs w:val="24"/>
          <w:highlight w:val="none"/>
          <w:shd w:val="clear" w:color="auto" w:fill="FFFFFF"/>
        </w:rPr>
        <w:t>截止至递交响应文件截止时间，供应商不得为“信用中国（www.creditchina.gov.cn）”网站中列入失信被执行人或重大税收违法案件当事人名单的供应商，不得为中国政府采购网（www.ccgp.gov.cn）政府采购严重违法失信行为记录名单中被财政部门禁止参加政府采购活动的供应商（处罚决定规定的时间和地域范围内）；</w:t>
      </w:r>
    </w:p>
    <w:p>
      <w:pPr>
        <w:pStyle w:val="41"/>
        <w:numPr>
          <w:ilvl w:val="1"/>
          <w:numId w:val="11"/>
        </w:numPr>
        <w:spacing w:before="0" w:beforeAutospacing="0" w:after="0" w:afterAutospacing="0" w:line="360" w:lineRule="auto"/>
        <w:textAlignment w:val="baseline"/>
        <w:rPr>
          <w:rFonts w:hint="eastAsia" w:ascii="Times New Roman" w:hAnsi="Times New Roman" w:cs="Times New Roman"/>
          <w:color w:val="auto"/>
          <w:sz w:val="24"/>
          <w:szCs w:val="24"/>
          <w:highlight w:val="none"/>
          <w:shd w:val="clear" w:color="auto" w:fill="FFFFFF"/>
          <w:lang w:eastAsia="zh-CN"/>
        </w:rPr>
      </w:pPr>
      <w:r>
        <w:rPr>
          <w:rFonts w:hint="eastAsia" w:ascii="Times New Roman" w:hAnsi="Times New Roman" w:cs="Times New Roman"/>
          <w:color w:val="auto"/>
          <w:sz w:val="24"/>
          <w:szCs w:val="24"/>
          <w:highlight w:val="none"/>
          <w:shd w:val="clear" w:color="auto" w:fill="FFFFFF"/>
        </w:rPr>
        <w:t>3.2 单位负责人为同一人或者存在直接控股、管理关系的不同供应商，不得参加同一合同项下的政府采购活动；为本项目提供整体设计、规范编制或者项目管理、监理、检测等服务的供应商，不得参加本项目；</w:t>
      </w:r>
      <w:r>
        <w:rPr>
          <w:rFonts w:hint="eastAsia" w:ascii="Times New Roman" w:hAnsi="Times New Roman" w:cs="Times New Roman"/>
          <w:color w:val="auto"/>
          <w:sz w:val="24"/>
          <w:szCs w:val="24"/>
          <w:highlight w:val="none"/>
          <w:shd w:val="clear" w:color="auto" w:fill="FFFFFF"/>
        </w:rPr>
        <w:br w:type="textWrapping"/>
      </w:r>
      <w:r>
        <w:rPr>
          <w:rFonts w:hint="eastAsia" w:ascii="Times New Roman" w:hAnsi="Times New Roman" w:cs="Times New Roman"/>
          <w:color w:val="auto"/>
          <w:sz w:val="24"/>
          <w:szCs w:val="24"/>
          <w:highlight w:val="none"/>
          <w:shd w:val="clear" w:color="auto" w:fill="FFFFFF"/>
        </w:rPr>
        <w:t>3.3 本项目参加政府采购活动的供应商在前3年内不得具有行贿犯罪记录；</w:t>
      </w:r>
    </w:p>
    <w:p>
      <w:pPr>
        <w:pStyle w:val="41"/>
        <w:numPr>
          <w:ilvl w:val="0"/>
          <w:numId w:val="0"/>
        </w:numPr>
        <w:spacing w:before="0" w:beforeAutospacing="0" w:after="0" w:afterAutospacing="0" w:line="360" w:lineRule="auto"/>
        <w:ind w:leftChars="0"/>
        <w:textAlignment w:val="baseline"/>
        <w:rPr>
          <w:rFonts w:hint="eastAsia" w:ascii="Times New Roman" w:hAnsi="Times New Roman" w:cs="Times New Roman"/>
          <w:color w:val="auto"/>
          <w:sz w:val="24"/>
          <w:szCs w:val="24"/>
          <w:highlight w:val="none"/>
          <w:shd w:val="clear" w:color="auto" w:fill="FFFFFF"/>
          <w:lang w:eastAsia="zh-CN"/>
        </w:rPr>
      </w:pPr>
      <w:r>
        <w:rPr>
          <w:rFonts w:hint="eastAsia" w:ascii="Times New Roman" w:hAnsi="Times New Roman" w:cs="Times New Roman"/>
          <w:color w:val="auto"/>
          <w:sz w:val="24"/>
          <w:szCs w:val="24"/>
          <w:highlight w:val="none"/>
          <w:shd w:val="clear" w:color="auto" w:fill="FFFFFF"/>
          <w:lang w:val="en-US" w:eastAsia="zh-CN"/>
        </w:rPr>
        <w:t>3.4 供应商</w:t>
      </w:r>
      <w:r>
        <w:rPr>
          <w:rFonts w:hint="eastAsia" w:ascii="Times New Roman" w:hAnsi="Times New Roman" w:cs="Times New Roman"/>
          <w:color w:val="auto"/>
          <w:sz w:val="24"/>
          <w:szCs w:val="24"/>
          <w:highlight w:val="none"/>
          <w:shd w:val="clear" w:color="auto" w:fill="FFFFFF"/>
          <w:lang w:eastAsia="zh-Hans"/>
        </w:rPr>
        <w:t>应具</w:t>
      </w:r>
      <w:r>
        <w:rPr>
          <w:rFonts w:hint="eastAsia" w:ascii="Times New Roman" w:hAnsi="Times New Roman" w:cs="Times New Roman"/>
          <w:color w:val="auto"/>
          <w:sz w:val="24"/>
          <w:szCs w:val="24"/>
          <w:highlight w:val="none"/>
          <w:shd w:val="clear" w:color="auto" w:fill="FFFFFF"/>
          <w:lang w:val="en-US" w:eastAsia="zh-Hans"/>
        </w:rPr>
        <w:t>备涉密信息系统集成（总体集成或软件开发）乙级及以上资质</w:t>
      </w:r>
      <w:r>
        <w:rPr>
          <w:rFonts w:hint="eastAsia" w:ascii="Times New Roman" w:hAnsi="Times New Roman" w:cs="Times New Roman"/>
          <w:color w:val="auto"/>
          <w:sz w:val="24"/>
          <w:szCs w:val="24"/>
          <w:highlight w:val="none"/>
          <w:shd w:val="clear" w:color="auto" w:fill="FFFFFF"/>
          <w:lang w:eastAsia="zh-CN"/>
        </w:rPr>
        <w:t>。</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Style w:val="49"/>
          <w:rFonts w:ascii="Times New Roman" w:hAnsi="Times New Roman" w:cs="Times New Roman"/>
          <w:color w:val="auto"/>
          <w:highlight w:val="none"/>
          <w:shd w:val="clear" w:color="auto" w:fill="FFFFFF"/>
        </w:rPr>
        <w:t>三、获取采购文件</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时间：202</w:t>
      </w:r>
      <w:r>
        <w:rPr>
          <w:rFonts w:hint="eastAsia" w:ascii="Times New Roman" w:hAnsi="Times New Roman" w:cs="Times New Roman"/>
          <w:color w:val="auto"/>
          <w:sz w:val="24"/>
          <w:szCs w:val="24"/>
          <w:highlight w:val="none"/>
          <w:shd w:val="clear" w:color="auto" w:fill="FFFFFF"/>
        </w:rPr>
        <w:t>2</w:t>
      </w:r>
      <w:r>
        <w:rPr>
          <w:rFonts w:ascii="Times New Roman" w:hAnsi="Times New Roman" w:cs="Times New Roman"/>
          <w:color w:val="auto"/>
          <w:sz w:val="24"/>
          <w:szCs w:val="24"/>
          <w:highlight w:val="none"/>
          <w:shd w:val="clear" w:color="auto" w:fill="FFFFFF"/>
        </w:rPr>
        <w:t>年</w:t>
      </w:r>
      <w:r>
        <w:rPr>
          <w:rFonts w:hint="eastAsia" w:ascii="Times New Roman" w:hAnsi="Times New Roman" w:cs="Times New Roman"/>
          <w:color w:val="auto"/>
          <w:sz w:val="24"/>
          <w:szCs w:val="24"/>
          <w:highlight w:val="none"/>
          <w:shd w:val="clear" w:color="auto" w:fill="FFFFFF"/>
          <w:lang w:val="en-US" w:eastAsia="zh-CN"/>
        </w:rPr>
        <w:t>8</w:t>
      </w:r>
      <w:r>
        <w:rPr>
          <w:rFonts w:ascii="Times New Roman" w:hAnsi="Times New Roman" w:cs="Times New Roman"/>
          <w:color w:val="auto"/>
          <w:sz w:val="24"/>
          <w:szCs w:val="24"/>
          <w:highlight w:val="none"/>
          <w:shd w:val="clear" w:color="auto" w:fill="FFFFFF"/>
        </w:rPr>
        <w:t>月</w:t>
      </w:r>
      <w:r>
        <w:rPr>
          <w:rFonts w:hint="eastAsia" w:ascii="Times New Roman" w:hAnsi="Times New Roman" w:cs="Times New Roman"/>
          <w:color w:val="auto"/>
          <w:sz w:val="24"/>
          <w:szCs w:val="24"/>
          <w:highlight w:val="none"/>
          <w:shd w:val="clear" w:color="auto" w:fill="FFFFFF"/>
          <w:lang w:val="en-US" w:eastAsia="zh-CN"/>
        </w:rPr>
        <w:t>17</w:t>
      </w:r>
      <w:r>
        <w:rPr>
          <w:rFonts w:ascii="Times New Roman" w:hAnsi="Times New Roman" w:cs="Times New Roman"/>
          <w:color w:val="auto"/>
          <w:sz w:val="24"/>
          <w:szCs w:val="24"/>
          <w:highlight w:val="none"/>
          <w:shd w:val="clear" w:color="auto" w:fill="FFFFFF"/>
        </w:rPr>
        <w:t>日至202</w:t>
      </w:r>
      <w:r>
        <w:rPr>
          <w:rFonts w:hint="eastAsia" w:ascii="Times New Roman" w:hAnsi="Times New Roman" w:cs="Times New Roman"/>
          <w:color w:val="auto"/>
          <w:sz w:val="24"/>
          <w:szCs w:val="24"/>
          <w:highlight w:val="none"/>
          <w:shd w:val="clear" w:color="auto" w:fill="FFFFFF"/>
        </w:rPr>
        <w:t>2</w:t>
      </w:r>
      <w:r>
        <w:rPr>
          <w:rFonts w:ascii="Times New Roman" w:hAnsi="Times New Roman" w:cs="Times New Roman"/>
          <w:color w:val="auto"/>
          <w:sz w:val="24"/>
          <w:szCs w:val="24"/>
          <w:highlight w:val="none"/>
          <w:shd w:val="clear" w:color="auto" w:fill="FFFFFF"/>
        </w:rPr>
        <w:t>年</w:t>
      </w:r>
      <w:r>
        <w:rPr>
          <w:rFonts w:hint="eastAsia" w:ascii="Times New Roman" w:hAnsi="Times New Roman" w:cs="Times New Roman"/>
          <w:color w:val="auto"/>
          <w:sz w:val="24"/>
          <w:szCs w:val="24"/>
          <w:highlight w:val="none"/>
          <w:shd w:val="clear" w:color="auto" w:fill="FFFFFF"/>
          <w:lang w:val="en-US" w:eastAsia="zh-CN"/>
        </w:rPr>
        <w:t>8</w:t>
      </w:r>
      <w:r>
        <w:rPr>
          <w:rFonts w:ascii="Times New Roman" w:hAnsi="Times New Roman" w:cs="Times New Roman"/>
          <w:color w:val="auto"/>
          <w:sz w:val="24"/>
          <w:szCs w:val="24"/>
          <w:highlight w:val="none"/>
          <w:shd w:val="clear" w:color="auto" w:fill="FFFFFF"/>
        </w:rPr>
        <w:t>月</w:t>
      </w:r>
      <w:r>
        <w:rPr>
          <w:rFonts w:hint="eastAsia" w:ascii="Times New Roman" w:hAnsi="Times New Roman" w:cs="Times New Roman"/>
          <w:color w:val="auto"/>
          <w:sz w:val="24"/>
          <w:szCs w:val="24"/>
          <w:highlight w:val="none"/>
          <w:shd w:val="clear" w:color="auto" w:fill="FFFFFF"/>
          <w:lang w:val="en-US" w:eastAsia="zh-CN"/>
        </w:rPr>
        <w:t>23</w:t>
      </w:r>
      <w:bookmarkStart w:id="196" w:name="_GoBack"/>
      <w:bookmarkEnd w:id="196"/>
      <w:r>
        <w:rPr>
          <w:rFonts w:ascii="Times New Roman" w:hAnsi="Times New Roman" w:cs="Times New Roman"/>
          <w:color w:val="auto"/>
          <w:sz w:val="24"/>
          <w:szCs w:val="24"/>
          <w:highlight w:val="none"/>
          <w:shd w:val="clear" w:color="auto" w:fill="FFFFFF"/>
        </w:rPr>
        <w:t>日（磋商文件的发售期限自开始之日起不得少于5个工作日），每天上午9:00至11:30，下午13:00至17:00。（北京时间，法定节假日除外）</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地点：四川省绵阳市绵山路64号华庭酒店3楼</w:t>
      </w:r>
    </w:p>
    <w:p>
      <w:pPr>
        <w:pStyle w:val="41"/>
        <w:spacing w:before="0" w:beforeAutospacing="0" w:after="0" w:afterAutospacing="0" w:line="360" w:lineRule="auto"/>
        <w:textAlignment w:val="baseline"/>
        <w:rPr>
          <w:rFonts w:hint="eastAsia" w:ascii="Times New Roman" w:hAnsi="Times New Roman" w:cs="Times New Roman"/>
          <w:color w:val="auto"/>
          <w:sz w:val="24"/>
          <w:szCs w:val="24"/>
          <w:highlight w:val="none"/>
          <w:shd w:val="clear" w:color="auto" w:fill="FFFFFF"/>
        </w:rPr>
      </w:pPr>
      <w:r>
        <w:rPr>
          <w:rFonts w:hint="eastAsia" w:ascii="Times New Roman" w:hAnsi="Times New Roman" w:cs="Times New Roman"/>
          <w:color w:val="auto"/>
          <w:sz w:val="24"/>
          <w:szCs w:val="24"/>
          <w:highlight w:val="none"/>
          <w:shd w:val="clear" w:color="auto" w:fill="FFFFFF"/>
        </w:rPr>
        <w:t>方式：登录中化商务电子招投标平台（e.sinochemitc.com）通过获取招标文件并通过网上支付方式支付招标文件、平台使用及技术支持费（招标文件、平台使用及技术支持费：300元/包件/</w:t>
      </w:r>
      <w:r>
        <w:rPr>
          <w:rFonts w:hint="eastAsia" w:ascii="Times New Roman" w:hAnsi="Times New Roman" w:cs="Times New Roman"/>
          <w:color w:val="auto"/>
          <w:sz w:val="24"/>
          <w:szCs w:val="24"/>
          <w:highlight w:val="none"/>
          <w:shd w:val="clear" w:color="auto" w:fill="FFFFFF"/>
          <w:lang w:eastAsia="zh-CN"/>
        </w:rPr>
        <w:t>供应商</w:t>
      </w:r>
      <w:r>
        <w:rPr>
          <w:rFonts w:hint="eastAsia" w:ascii="Times New Roman" w:hAnsi="Times New Roman" w:cs="Times New Roman"/>
          <w:color w:val="auto"/>
          <w:sz w:val="24"/>
          <w:szCs w:val="24"/>
          <w:highlight w:val="none"/>
          <w:shd w:val="clear" w:color="auto" w:fill="FFFFFF"/>
        </w:rPr>
        <w:t>）。潜在供应商需先进行网上注册（免费），注册成功后（已注册供应商不必重复注册）即可进行招标文件、平台使用及技术支持费缴费。平台目前开放的招标文件、平台使用及技术支持费支付方式包括：银联、微信，可自由选择（注意：本公司不接受任何电汇支付）。支付成功后，可下载增值税电子普通发票，供应商在付款后可联系采购代理机构领取纸质版招标文件。招标文件、平台使用及技术支持费支付和电子发票获取的操作手册详见：“进入平台—综合办公—常用文件—中化招投标平台－</w:t>
      </w:r>
      <w:r>
        <w:rPr>
          <w:rFonts w:hint="eastAsia" w:ascii="Times New Roman" w:hAnsi="Times New Roman" w:cs="Times New Roman"/>
          <w:color w:val="auto"/>
          <w:sz w:val="24"/>
          <w:szCs w:val="24"/>
          <w:highlight w:val="none"/>
          <w:shd w:val="clear" w:color="auto" w:fill="FFFFFF"/>
          <w:lang w:eastAsia="zh-CN"/>
        </w:rPr>
        <w:t>供应商</w:t>
      </w:r>
      <w:r>
        <w:rPr>
          <w:rFonts w:hint="eastAsia" w:ascii="Times New Roman" w:hAnsi="Times New Roman" w:cs="Times New Roman"/>
          <w:color w:val="auto"/>
          <w:sz w:val="24"/>
          <w:szCs w:val="24"/>
          <w:highlight w:val="none"/>
          <w:shd w:val="clear" w:color="auto" w:fill="FFFFFF"/>
        </w:rPr>
        <w:t>操作手册”。中化商务电子招投标平台供应商注册/文件获取/技术支持等相关事宜请咨询：010-86391277。</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shd w:val="clear" w:color="auto" w:fill="FFFFFF"/>
        </w:rPr>
        <w:t>售价：￥300.0 元。</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Style w:val="49"/>
          <w:rFonts w:ascii="Times New Roman" w:hAnsi="Times New Roman" w:cs="Times New Roman"/>
          <w:color w:val="auto"/>
          <w:highlight w:val="none"/>
          <w:shd w:val="clear" w:color="auto" w:fill="FFFFFF"/>
        </w:rPr>
        <w:t>四、响应文件提交</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截止时间：</w:t>
      </w:r>
      <w:r>
        <w:rPr>
          <w:rFonts w:ascii="Times New Roman" w:hAnsi="Times New Roman"/>
          <w:color w:val="auto"/>
          <w:sz w:val="24"/>
          <w:szCs w:val="24"/>
          <w:highlight w:val="none"/>
          <w:u w:val="single"/>
          <w:shd w:val="clear" w:color="auto" w:fill="FFFFFF"/>
        </w:rPr>
        <w:t>202</w:t>
      </w:r>
      <w:r>
        <w:rPr>
          <w:rFonts w:hint="eastAsia" w:ascii="Times New Roman" w:hAnsi="Times New Roman"/>
          <w:color w:val="auto"/>
          <w:sz w:val="24"/>
          <w:szCs w:val="24"/>
          <w:highlight w:val="none"/>
          <w:u w:val="single"/>
          <w:shd w:val="clear" w:color="auto" w:fill="FFFFFF"/>
        </w:rPr>
        <w:t>2</w:t>
      </w:r>
      <w:r>
        <w:rPr>
          <w:rFonts w:ascii="Times New Roman" w:hAnsi="Times New Roman"/>
          <w:color w:val="auto"/>
          <w:sz w:val="24"/>
          <w:szCs w:val="24"/>
          <w:highlight w:val="none"/>
          <w:shd w:val="clear" w:color="auto" w:fill="FFFFFF"/>
        </w:rPr>
        <w:t>年</w:t>
      </w:r>
      <w:r>
        <w:rPr>
          <w:rFonts w:hint="eastAsia" w:ascii="Times New Roman" w:hAnsi="Times New Roman"/>
          <w:color w:val="auto"/>
          <w:sz w:val="24"/>
          <w:szCs w:val="24"/>
          <w:highlight w:val="none"/>
          <w:u w:val="single"/>
          <w:shd w:val="clear" w:color="auto" w:fill="FFFFFF"/>
          <w:lang w:val="en-US" w:eastAsia="zh-CN"/>
        </w:rPr>
        <w:t>8</w:t>
      </w:r>
      <w:r>
        <w:rPr>
          <w:rFonts w:ascii="Times New Roman" w:hAnsi="Times New Roman"/>
          <w:color w:val="auto"/>
          <w:sz w:val="24"/>
          <w:szCs w:val="24"/>
          <w:highlight w:val="none"/>
          <w:shd w:val="clear" w:color="auto" w:fill="FFFFFF"/>
        </w:rPr>
        <w:t>月</w:t>
      </w:r>
      <w:r>
        <w:rPr>
          <w:rFonts w:hint="eastAsia" w:ascii="Times New Roman" w:hAnsi="Times New Roman"/>
          <w:color w:val="auto"/>
          <w:sz w:val="24"/>
          <w:szCs w:val="24"/>
          <w:highlight w:val="none"/>
          <w:u w:val="single"/>
          <w:shd w:val="clear" w:color="auto" w:fill="FFFFFF"/>
          <w:lang w:val="en-US" w:eastAsia="zh-CN"/>
        </w:rPr>
        <w:t>29</w:t>
      </w:r>
      <w:r>
        <w:rPr>
          <w:rFonts w:ascii="Times New Roman" w:hAnsi="Times New Roman"/>
          <w:color w:val="auto"/>
          <w:sz w:val="24"/>
          <w:szCs w:val="24"/>
          <w:highlight w:val="none"/>
          <w:shd w:val="clear" w:color="auto" w:fill="FFFFFF"/>
        </w:rPr>
        <w:t>日</w:t>
      </w:r>
      <w:r>
        <w:rPr>
          <w:rFonts w:hint="eastAsia" w:ascii="Times New Roman" w:hAnsi="Times New Roman"/>
          <w:color w:val="auto"/>
          <w:sz w:val="24"/>
          <w:szCs w:val="24"/>
          <w:highlight w:val="none"/>
          <w:u w:val="single"/>
          <w:shd w:val="clear" w:color="auto" w:fill="FFFFFF"/>
          <w:lang w:val="en-US" w:eastAsia="zh-CN"/>
        </w:rPr>
        <w:t>09</w:t>
      </w:r>
      <w:r>
        <w:rPr>
          <w:rFonts w:ascii="Times New Roman" w:hAnsi="Times New Roman"/>
          <w:color w:val="auto"/>
          <w:sz w:val="24"/>
          <w:szCs w:val="24"/>
          <w:highlight w:val="none"/>
          <w:shd w:val="clear" w:color="auto" w:fill="FFFFFF"/>
        </w:rPr>
        <w:t>点</w:t>
      </w:r>
      <w:r>
        <w:rPr>
          <w:rFonts w:hint="eastAsia" w:ascii="Times New Roman" w:hAnsi="Times New Roman"/>
          <w:color w:val="auto"/>
          <w:sz w:val="24"/>
          <w:szCs w:val="24"/>
          <w:highlight w:val="none"/>
          <w:u w:val="single"/>
          <w:shd w:val="clear" w:color="auto" w:fill="FFFFFF"/>
          <w:lang w:val="en-US" w:eastAsia="zh-CN"/>
        </w:rPr>
        <w:t>30</w:t>
      </w:r>
      <w:r>
        <w:rPr>
          <w:rFonts w:ascii="Times New Roman" w:hAnsi="Times New Roman"/>
          <w:color w:val="auto"/>
          <w:sz w:val="24"/>
          <w:szCs w:val="24"/>
          <w:highlight w:val="none"/>
          <w:shd w:val="clear" w:color="auto" w:fill="FFFFFF"/>
        </w:rPr>
        <w:t>分</w:t>
      </w:r>
      <w:r>
        <w:rPr>
          <w:rFonts w:ascii="Times New Roman" w:hAnsi="Times New Roman" w:cs="Times New Roman"/>
          <w:color w:val="auto"/>
          <w:sz w:val="24"/>
          <w:szCs w:val="24"/>
          <w:highlight w:val="none"/>
          <w:shd w:val="clear" w:color="auto" w:fill="FFFFFF"/>
        </w:rPr>
        <w:t>（北京时间）（从磋商文件开始发出之日起至供应商提交首次响应文件截止之日止不得少于10日）</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地点：四川省绵阳市绵山路64号华庭酒店105室</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Style w:val="49"/>
          <w:rFonts w:ascii="Times New Roman" w:hAnsi="Times New Roman" w:cs="Times New Roman"/>
          <w:color w:val="auto"/>
          <w:highlight w:val="none"/>
          <w:shd w:val="clear" w:color="auto" w:fill="FFFFFF"/>
        </w:rPr>
        <w:t>五、开启</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时间：</w:t>
      </w:r>
      <w:r>
        <w:rPr>
          <w:rFonts w:ascii="Times New Roman" w:hAnsi="Times New Roman"/>
          <w:color w:val="auto"/>
          <w:sz w:val="24"/>
          <w:szCs w:val="24"/>
          <w:highlight w:val="none"/>
          <w:u w:val="single"/>
          <w:shd w:val="clear" w:color="auto" w:fill="FFFFFF"/>
        </w:rPr>
        <w:t>202</w:t>
      </w:r>
      <w:r>
        <w:rPr>
          <w:rFonts w:hint="eastAsia" w:ascii="Times New Roman" w:hAnsi="Times New Roman"/>
          <w:color w:val="auto"/>
          <w:sz w:val="24"/>
          <w:szCs w:val="24"/>
          <w:highlight w:val="none"/>
          <w:u w:val="single"/>
          <w:shd w:val="clear" w:color="auto" w:fill="FFFFFF"/>
        </w:rPr>
        <w:t>2</w:t>
      </w:r>
      <w:r>
        <w:rPr>
          <w:rFonts w:ascii="Times New Roman" w:hAnsi="Times New Roman"/>
          <w:color w:val="auto"/>
          <w:sz w:val="24"/>
          <w:szCs w:val="24"/>
          <w:highlight w:val="none"/>
          <w:shd w:val="clear" w:color="auto" w:fill="FFFFFF"/>
        </w:rPr>
        <w:t>年</w:t>
      </w:r>
      <w:r>
        <w:rPr>
          <w:rFonts w:hint="eastAsia" w:ascii="Times New Roman" w:hAnsi="Times New Roman"/>
          <w:color w:val="auto"/>
          <w:sz w:val="24"/>
          <w:szCs w:val="24"/>
          <w:highlight w:val="none"/>
          <w:u w:val="single"/>
          <w:shd w:val="clear" w:color="auto" w:fill="FFFFFF"/>
          <w:lang w:val="en-US" w:eastAsia="zh-CN"/>
        </w:rPr>
        <w:t>8</w:t>
      </w:r>
      <w:r>
        <w:rPr>
          <w:rFonts w:ascii="Times New Roman" w:hAnsi="Times New Roman"/>
          <w:color w:val="auto"/>
          <w:sz w:val="24"/>
          <w:szCs w:val="24"/>
          <w:highlight w:val="none"/>
          <w:shd w:val="clear" w:color="auto" w:fill="FFFFFF"/>
        </w:rPr>
        <w:t>月</w:t>
      </w:r>
      <w:r>
        <w:rPr>
          <w:rFonts w:hint="eastAsia" w:ascii="Times New Roman" w:hAnsi="Times New Roman"/>
          <w:color w:val="auto"/>
          <w:sz w:val="24"/>
          <w:szCs w:val="24"/>
          <w:highlight w:val="none"/>
          <w:u w:val="single"/>
          <w:shd w:val="clear" w:color="auto" w:fill="FFFFFF"/>
          <w:lang w:val="en-US" w:eastAsia="zh-CN"/>
        </w:rPr>
        <w:t>29</w:t>
      </w:r>
      <w:r>
        <w:rPr>
          <w:rFonts w:ascii="Times New Roman" w:hAnsi="Times New Roman"/>
          <w:color w:val="auto"/>
          <w:sz w:val="24"/>
          <w:szCs w:val="24"/>
          <w:highlight w:val="none"/>
          <w:shd w:val="clear" w:color="auto" w:fill="FFFFFF"/>
        </w:rPr>
        <w:t>日</w:t>
      </w:r>
      <w:r>
        <w:rPr>
          <w:rFonts w:hint="eastAsia" w:ascii="Times New Roman" w:hAnsi="Times New Roman"/>
          <w:color w:val="auto"/>
          <w:sz w:val="24"/>
          <w:szCs w:val="24"/>
          <w:highlight w:val="none"/>
          <w:u w:val="single"/>
          <w:shd w:val="clear" w:color="auto" w:fill="FFFFFF"/>
          <w:lang w:val="en-US" w:eastAsia="zh-CN"/>
        </w:rPr>
        <w:t>09</w:t>
      </w:r>
      <w:r>
        <w:rPr>
          <w:rFonts w:ascii="Times New Roman" w:hAnsi="Times New Roman"/>
          <w:color w:val="auto"/>
          <w:sz w:val="24"/>
          <w:szCs w:val="24"/>
          <w:highlight w:val="none"/>
          <w:shd w:val="clear" w:color="auto" w:fill="FFFFFF"/>
        </w:rPr>
        <w:t>点</w:t>
      </w:r>
      <w:r>
        <w:rPr>
          <w:rFonts w:hint="eastAsia" w:ascii="Times New Roman" w:hAnsi="Times New Roman"/>
          <w:color w:val="auto"/>
          <w:sz w:val="24"/>
          <w:szCs w:val="24"/>
          <w:highlight w:val="none"/>
          <w:u w:val="single"/>
          <w:shd w:val="clear" w:color="auto" w:fill="FFFFFF"/>
          <w:lang w:val="en-US" w:eastAsia="zh-CN"/>
        </w:rPr>
        <w:t>30</w:t>
      </w:r>
      <w:r>
        <w:rPr>
          <w:rFonts w:ascii="Times New Roman" w:hAnsi="Times New Roman"/>
          <w:color w:val="auto"/>
          <w:sz w:val="24"/>
          <w:szCs w:val="24"/>
          <w:highlight w:val="none"/>
          <w:shd w:val="clear" w:color="auto" w:fill="FFFFFF"/>
        </w:rPr>
        <w:t>分</w:t>
      </w:r>
      <w:r>
        <w:rPr>
          <w:rFonts w:ascii="Times New Roman" w:hAnsi="Times New Roman" w:cs="Times New Roman"/>
          <w:color w:val="auto"/>
          <w:sz w:val="24"/>
          <w:szCs w:val="24"/>
          <w:highlight w:val="none"/>
          <w:shd w:val="clear" w:color="auto" w:fill="FFFFFF"/>
        </w:rPr>
        <w:t>（北京时间）</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地点：四川省绵阳市绵山路64号华庭酒店105室</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Style w:val="49"/>
          <w:rFonts w:ascii="Times New Roman" w:hAnsi="Times New Roman" w:cs="Times New Roman"/>
          <w:color w:val="auto"/>
          <w:highlight w:val="none"/>
          <w:shd w:val="clear" w:color="auto" w:fill="FFFFFF"/>
        </w:rPr>
        <w:t>六、公告期限</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自本公告发布之日起3个工作日。</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Style w:val="49"/>
          <w:rFonts w:ascii="Times New Roman" w:hAnsi="Times New Roman" w:cs="Times New Roman"/>
          <w:color w:val="auto"/>
          <w:highlight w:val="none"/>
          <w:shd w:val="clear" w:color="auto" w:fill="FFFFFF"/>
        </w:rPr>
        <w:t>七、其他补充事宜</w:t>
      </w:r>
    </w:p>
    <w:p>
      <w:pPr>
        <w:pStyle w:val="41"/>
        <w:spacing w:before="0" w:beforeAutospacing="0" w:after="0" w:afterAutospacing="0" w:line="360" w:lineRule="auto"/>
        <w:textAlignment w:val="baseline"/>
        <w:rPr>
          <w:rFonts w:ascii="Times New Roman" w:hAnsi="Times New Roman" w:cs="Times New Roman"/>
          <w:color w:val="auto"/>
          <w:spacing w:val="-4"/>
          <w:sz w:val="24"/>
          <w:szCs w:val="24"/>
          <w:highlight w:val="none"/>
          <w:shd w:val="clear" w:color="auto" w:fill="FFFFFF"/>
        </w:rPr>
      </w:pPr>
      <w:r>
        <w:rPr>
          <w:rStyle w:val="296"/>
          <w:color w:val="auto"/>
          <w:sz w:val="24"/>
          <w:highlight w:val="none"/>
        </w:rPr>
        <w:t>本项目需要落实的政府采购政策：扶持不发达地区和少数民族地区、促进中小企业发展政策、支持监狱企业发展政策、促进残疾人就业政策、优先购买节能产品政策、优先购买环境标志产品政策、强制购买节能产品政策、优先采购无线局域网认证产品政策、《财政部关于开展政府采购信用担保试点工作方案》。</w:t>
      </w:r>
    </w:p>
    <w:p>
      <w:pPr>
        <w:pStyle w:val="41"/>
        <w:spacing w:before="0" w:beforeAutospacing="0" w:after="0" w:afterAutospacing="0" w:line="360" w:lineRule="auto"/>
        <w:textAlignment w:val="baseline"/>
        <w:rPr>
          <w:rFonts w:ascii="宋体" w:hAnsi="宋体" w:cs="宋体"/>
          <w:color w:val="auto"/>
          <w:spacing w:val="-4"/>
          <w:sz w:val="24"/>
          <w:szCs w:val="24"/>
          <w:highlight w:val="none"/>
          <w:shd w:val="clear" w:color="auto" w:fill="FFFFFF"/>
        </w:rPr>
      </w:pPr>
      <w:r>
        <w:rPr>
          <w:rFonts w:hint="eastAsia" w:ascii="宋体" w:hAnsi="宋体" w:cs="宋体"/>
          <w:b/>
          <w:bCs/>
          <w:color w:val="auto"/>
          <w:sz w:val="24"/>
          <w:szCs w:val="24"/>
          <w:highlight w:val="none"/>
          <w:shd w:val="clear" w:color="auto" w:fill="FFFFFF"/>
        </w:rPr>
        <w:t>是否允许进口产品：不允许进口</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Style w:val="49"/>
          <w:rFonts w:ascii="Times New Roman" w:hAnsi="Times New Roman" w:cs="Times New Roman"/>
          <w:color w:val="auto"/>
          <w:highlight w:val="none"/>
          <w:shd w:val="clear" w:color="auto" w:fill="FFFFFF"/>
        </w:rPr>
        <w:t>八、凡对本次采购提出询问，请按以下方式联系。</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1.采购人信息</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名 称：</w:t>
      </w:r>
      <w:r>
        <w:rPr>
          <w:rFonts w:hint="eastAsia" w:ascii="Times New Roman" w:hAnsi="Times New Roman" w:cs="Times New Roman"/>
          <w:color w:val="auto"/>
          <w:sz w:val="24"/>
          <w:szCs w:val="24"/>
          <w:highlight w:val="none"/>
          <w:shd w:val="clear" w:color="auto" w:fill="FFFFFF"/>
        </w:rPr>
        <w:t>中国工程物理研究院</w:t>
      </w:r>
      <w:r>
        <w:rPr>
          <w:rFonts w:hint="eastAsia" w:ascii="Times New Roman" w:hAnsi="Times New Roman" w:cs="Times New Roman"/>
          <w:color w:val="auto"/>
          <w:sz w:val="24"/>
          <w:szCs w:val="24"/>
          <w:highlight w:val="none"/>
          <w:shd w:val="clear" w:color="auto" w:fill="FFFFFF"/>
          <w:lang w:eastAsia="zh-CN"/>
        </w:rPr>
        <w:t>应用电子学研究所</w:t>
      </w:r>
      <w:r>
        <w:rPr>
          <w:rFonts w:ascii="Times New Roman" w:hAnsi="Times New Roman" w:cs="Times New Roman"/>
          <w:color w:val="auto"/>
          <w:sz w:val="24"/>
          <w:szCs w:val="24"/>
          <w:highlight w:val="none"/>
          <w:shd w:val="clear" w:color="auto" w:fill="FFFFFF"/>
        </w:rPr>
        <w:t>　　　　　</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地址：四川省绵阳市绵山路64号　　　　　　　　</w:t>
      </w:r>
    </w:p>
    <w:p>
      <w:pPr>
        <w:pStyle w:val="41"/>
        <w:spacing w:before="0" w:beforeAutospacing="0" w:after="0" w:afterAutospacing="0" w:line="360" w:lineRule="auto"/>
        <w:textAlignment w:val="baseline"/>
        <w:rPr>
          <w:rFonts w:hint="eastAsia"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shd w:val="clear" w:color="auto" w:fill="FFFFFF"/>
        </w:rPr>
        <w:t>联系方式：</w:t>
      </w:r>
      <w:r>
        <w:rPr>
          <w:rFonts w:hint="eastAsia" w:ascii="Times New Roman" w:hAnsi="Times New Roman" w:cs="Times New Roman"/>
          <w:color w:val="auto"/>
          <w:sz w:val="24"/>
          <w:szCs w:val="24"/>
          <w:highlight w:val="none"/>
          <w:shd w:val="clear" w:color="auto" w:fill="FFFFFF"/>
          <w:lang w:eastAsia="zh-CN"/>
        </w:rPr>
        <w:t>赵娜</w:t>
      </w:r>
      <w:r>
        <w:rPr>
          <w:rFonts w:hint="eastAsia" w:ascii="Times New Roman" w:hAnsi="Times New Roman" w:cs="Times New Roman"/>
          <w:color w:val="auto"/>
          <w:sz w:val="24"/>
          <w:szCs w:val="24"/>
          <w:highlight w:val="none"/>
          <w:shd w:val="clear" w:color="auto" w:fill="FFFFFF"/>
        </w:rPr>
        <w:t xml:space="preserve">  </w:t>
      </w:r>
      <w:r>
        <w:rPr>
          <w:rFonts w:hint="eastAsia" w:ascii="Times New Roman" w:hAnsi="Times New Roman" w:cs="Times New Roman"/>
          <w:color w:val="auto"/>
          <w:sz w:val="24"/>
          <w:szCs w:val="24"/>
          <w:highlight w:val="none"/>
          <w:shd w:val="clear" w:color="auto" w:fill="FFFFFF"/>
          <w:lang w:eastAsia="zh-CN"/>
        </w:rPr>
        <w:t>0816-2484320</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2.采购代理机构信息</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名 称：中化商务有限公司　　　　　　　　　　　　</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地　址：四川省绵阳市绵山路64号华庭酒店301（绵阳项目部地址）　　　　　　　　　　</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联系方式：蒋佳岑、陈维 0816-2489230　　　　　　　　　　　　</w:t>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3.项目联系方式</w:t>
      </w:r>
    </w:p>
    <w:p>
      <w:pPr>
        <w:pStyle w:val="41"/>
        <w:tabs>
          <w:tab w:val="left" w:pos="6602"/>
        </w:tabs>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项目联系人：蒋佳岑、陈维</w:t>
      </w:r>
      <w:r>
        <w:rPr>
          <w:rFonts w:ascii="Times New Roman" w:hAnsi="Times New Roman" w:cs="Times New Roman"/>
          <w:color w:val="auto"/>
          <w:sz w:val="24"/>
          <w:szCs w:val="24"/>
          <w:highlight w:val="none"/>
          <w:shd w:val="clear" w:color="auto" w:fill="FFFFFF"/>
        </w:rPr>
        <w:tab/>
      </w:r>
    </w:p>
    <w:p>
      <w:pPr>
        <w:pStyle w:val="41"/>
        <w:spacing w:before="0" w:beforeAutospacing="0" w:after="0" w:afterAutospacing="0" w:line="360" w:lineRule="auto"/>
        <w:textAlignment w:val="baseline"/>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shd w:val="clear" w:color="auto" w:fill="FFFFFF"/>
        </w:rPr>
        <w:t>电　话：0816-2489230</w:t>
      </w:r>
    </w:p>
    <w:p>
      <w:pPr>
        <w:pStyle w:val="2"/>
        <w:spacing w:after="0" w:line="360" w:lineRule="auto"/>
        <w:rPr>
          <w:rFonts w:ascii="Times New Roman"/>
          <w:color w:val="auto"/>
          <w:sz w:val="24"/>
          <w:szCs w:val="24"/>
          <w:highlight w:val="none"/>
        </w:rPr>
        <w:sectPr>
          <w:footerReference r:id="rId6" w:type="default"/>
          <w:type w:val="nextColumn"/>
          <w:pgSz w:w="11906" w:h="16838"/>
          <w:pgMar w:top="1134" w:right="1134" w:bottom="851" w:left="1474" w:header="851" w:footer="992" w:gutter="0"/>
          <w:cols w:space="720" w:num="1"/>
          <w:docGrid w:linePitch="312" w:charSpace="0"/>
        </w:sectPr>
      </w:pPr>
    </w:p>
    <w:p>
      <w:pPr>
        <w:rPr>
          <w:rFonts w:ascii="Times New Roman" w:hAnsi="Times New Roman"/>
          <w:color w:val="auto"/>
          <w:highlight w:val="none"/>
        </w:rPr>
      </w:pPr>
    </w:p>
    <w:p>
      <w:pPr>
        <w:tabs>
          <w:tab w:val="left" w:pos="425"/>
          <w:tab w:val="left" w:pos="4265"/>
          <w:tab w:val="left" w:pos="5225"/>
        </w:tabs>
        <w:spacing w:line="360" w:lineRule="auto"/>
        <w:jc w:val="center"/>
        <w:outlineLvl w:val="0"/>
        <w:rPr>
          <w:rFonts w:ascii="Times New Roman" w:hAnsi="Times New Roman" w:eastAsia="黑体"/>
          <w:color w:val="auto"/>
          <w:sz w:val="32"/>
          <w:szCs w:val="32"/>
          <w:highlight w:val="none"/>
        </w:rPr>
      </w:pPr>
      <w:bookmarkStart w:id="1" w:name="_Toc17957"/>
      <w:r>
        <w:rPr>
          <w:rFonts w:ascii="Times New Roman" w:hAnsi="Times New Roman" w:eastAsia="黑体"/>
          <w:color w:val="auto"/>
          <w:sz w:val="32"/>
          <w:szCs w:val="32"/>
          <w:highlight w:val="none"/>
        </w:rPr>
        <w:t>第二章 供应商须知</w:t>
      </w:r>
      <w:bookmarkEnd w:id="1"/>
    </w:p>
    <w:p>
      <w:pPr>
        <w:numPr>
          <w:ilvl w:val="0"/>
          <w:numId w:val="12"/>
        </w:numPr>
        <w:spacing w:line="400" w:lineRule="exact"/>
        <w:jc w:val="center"/>
        <w:outlineLvl w:val="1"/>
        <w:rPr>
          <w:rFonts w:ascii="Times New Roman" w:hAnsi="Times New Roman"/>
          <w:b/>
          <w:bCs/>
          <w:color w:val="auto"/>
          <w:sz w:val="32"/>
          <w:szCs w:val="32"/>
          <w:highlight w:val="none"/>
        </w:rPr>
      </w:pPr>
      <w:bookmarkStart w:id="2" w:name="_Toc28214"/>
      <w:bookmarkStart w:id="3" w:name="_Toc3298119"/>
      <w:r>
        <w:rPr>
          <w:rFonts w:ascii="Times New Roman" w:hAnsi="Times New Roman"/>
          <w:b/>
          <w:bCs/>
          <w:color w:val="auto"/>
          <w:sz w:val="32"/>
          <w:szCs w:val="32"/>
          <w:highlight w:val="none"/>
        </w:rPr>
        <w:t>供应商须知附表</w:t>
      </w:r>
      <w:bookmarkEnd w:id="2"/>
      <w:bookmarkEnd w:id="3"/>
    </w:p>
    <w:tbl>
      <w:tblPr>
        <w:tblStyle w:val="46"/>
        <w:tblW w:w="996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15"/>
        <w:gridCol w:w="2199"/>
        <w:gridCol w:w="714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615" w:type="dxa"/>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 xml:space="preserve">序号 </w:t>
            </w:r>
          </w:p>
        </w:tc>
        <w:tc>
          <w:tcPr>
            <w:tcW w:w="2199" w:type="dxa"/>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条款名称</w:t>
            </w:r>
          </w:p>
        </w:tc>
        <w:tc>
          <w:tcPr>
            <w:tcW w:w="7146" w:type="dxa"/>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1</w:t>
            </w:r>
          </w:p>
        </w:tc>
        <w:tc>
          <w:tcPr>
            <w:tcW w:w="2199" w:type="dxa"/>
            <w:vAlign w:val="center"/>
          </w:tcPr>
          <w:p>
            <w:pPr>
              <w:pStyle w:val="245"/>
              <w:jc w:val="center"/>
              <w:rPr>
                <w:rFonts w:ascii="Times New Roman" w:hAnsi="Times New Roman" w:cs="Times New Roman"/>
                <w:color w:val="auto"/>
                <w:highlight w:val="none"/>
                <w:lang w:val="zh-CN"/>
              </w:rPr>
            </w:pPr>
            <w:r>
              <w:rPr>
                <w:rFonts w:ascii="Times New Roman" w:hAnsi="Times New Roman" w:cs="Times New Roman"/>
                <w:color w:val="auto"/>
                <w:szCs w:val="21"/>
                <w:highlight w:val="none"/>
                <w:lang w:val="zh-CN"/>
              </w:rPr>
              <w:t>确定邀请</w:t>
            </w:r>
            <w:r>
              <w:rPr>
                <w:rFonts w:ascii="Times New Roman" w:hAnsi="Times New Roman" w:cs="Times New Roman"/>
                <w:color w:val="auto"/>
                <w:highlight w:val="none"/>
              </w:rPr>
              <w:t>竞争性磋商</w:t>
            </w:r>
            <w:r>
              <w:rPr>
                <w:rFonts w:ascii="Times New Roman" w:hAnsi="Times New Roman" w:cs="Times New Roman"/>
                <w:color w:val="auto"/>
                <w:szCs w:val="21"/>
                <w:highlight w:val="none"/>
                <w:lang w:val="zh-CN"/>
              </w:rPr>
              <w:t>的供应商数量和方式</w:t>
            </w:r>
          </w:p>
        </w:tc>
        <w:tc>
          <w:tcPr>
            <w:tcW w:w="7146" w:type="dxa"/>
            <w:vAlign w:val="center"/>
          </w:tcPr>
          <w:p>
            <w:pPr>
              <w:pStyle w:val="245"/>
              <w:jc w:val="both"/>
              <w:rPr>
                <w:rFonts w:ascii="Times New Roman" w:hAnsi="Times New Roman" w:cs="Times New Roman"/>
                <w:color w:val="auto"/>
                <w:highlight w:val="none"/>
                <w:lang w:val="zh-CN"/>
              </w:rPr>
            </w:pPr>
            <w:r>
              <w:rPr>
                <w:rFonts w:ascii="Times New Roman" w:hAnsi="Times New Roman" w:cs="Times New Roman"/>
                <w:color w:val="auto"/>
                <w:highlight w:val="none"/>
                <w:lang w:val="zh-CN"/>
              </w:rPr>
              <w:t>本次磋商邀请的供应商数量：所有通过资格审查、符合性审查</w:t>
            </w:r>
            <w:r>
              <w:rPr>
                <w:rFonts w:ascii="Times New Roman" w:hAnsi="Times New Roman" w:cs="Times New Roman"/>
                <w:color w:val="auto"/>
                <w:highlight w:val="none"/>
              </w:rPr>
              <w:t>且磋商完成后，实质性响应并参加最终报价</w:t>
            </w:r>
            <w:r>
              <w:rPr>
                <w:rFonts w:ascii="Times New Roman" w:hAnsi="Times New Roman" w:cs="Times New Roman"/>
                <w:color w:val="auto"/>
                <w:highlight w:val="none"/>
                <w:lang w:val="zh-CN"/>
              </w:rPr>
              <w:t>的供应商，不少于</w:t>
            </w:r>
            <w:r>
              <w:rPr>
                <w:rFonts w:ascii="Times New Roman" w:hAnsi="Times New Roman" w:cs="Times New Roman"/>
                <w:color w:val="auto"/>
                <w:highlight w:val="none"/>
              </w:rPr>
              <w:t>3</w:t>
            </w:r>
            <w:r>
              <w:rPr>
                <w:rFonts w:ascii="Times New Roman" w:hAnsi="Times New Roman" w:cs="Times New Roman"/>
                <w:color w:val="auto"/>
                <w:highlight w:val="none"/>
                <w:lang w:val="zh-CN"/>
              </w:rPr>
              <w:t>家。</w:t>
            </w:r>
          </w:p>
          <w:p>
            <w:pPr>
              <w:pStyle w:val="245"/>
              <w:jc w:val="both"/>
              <w:rPr>
                <w:rFonts w:ascii="Times New Roman" w:hAnsi="Times New Roman" w:cs="Times New Roman"/>
                <w:color w:val="auto"/>
                <w:highlight w:val="none"/>
                <w:lang w:val="zh-CN"/>
              </w:rPr>
            </w:pPr>
            <w:r>
              <w:rPr>
                <w:rFonts w:ascii="Times New Roman" w:hAnsi="Times New Roman" w:cs="Times New Roman"/>
                <w:bCs/>
                <w:color w:val="auto"/>
                <w:highlight w:val="none"/>
              </w:rPr>
              <w:t>本次</w:t>
            </w:r>
            <w:r>
              <w:rPr>
                <w:rFonts w:ascii="Times New Roman" w:hAnsi="Times New Roman" w:cs="Times New Roman"/>
                <w:color w:val="auto"/>
                <w:highlight w:val="none"/>
              </w:rPr>
              <w:t>竞争性磋商</w:t>
            </w:r>
            <w:r>
              <w:rPr>
                <w:rFonts w:ascii="Times New Roman" w:hAnsi="Times New Roman" w:cs="Times New Roman"/>
                <w:bCs/>
                <w:color w:val="auto"/>
                <w:highlight w:val="none"/>
              </w:rPr>
              <w:t>邀请由采购人通过公告方式邀请不少于3家供应商进行磋商</w:t>
            </w:r>
            <w:r>
              <w:rPr>
                <w:rFonts w:ascii="Times New Roman" w:hAnsi="Times New Roman" w:cs="Times New Roman"/>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Merge w:val="restart"/>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2</w:t>
            </w:r>
          </w:p>
        </w:tc>
        <w:tc>
          <w:tcPr>
            <w:tcW w:w="2199" w:type="dxa"/>
            <w:tcBorders>
              <w:bottom w:val="single" w:color="auto" w:sz="4" w:space="0"/>
            </w:tcBorders>
            <w:vAlign w:val="center"/>
          </w:tcPr>
          <w:p>
            <w:pPr>
              <w:pStyle w:val="245"/>
              <w:jc w:val="center"/>
              <w:rPr>
                <w:rFonts w:ascii="Times New Roman" w:hAnsi="Times New Roman" w:cs="Times New Roman"/>
                <w:b/>
                <w:bCs/>
                <w:color w:val="auto"/>
                <w:kern w:val="2"/>
                <w:highlight w:val="none"/>
              </w:rPr>
            </w:pPr>
            <w:r>
              <w:rPr>
                <w:rFonts w:ascii="Segoe UI Symbol" w:hAnsi="Segoe UI Symbol" w:cs="Segoe UI Symbol"/>
                <w:b/>
                <w:bCs/>
                <w:color w:val="auto"/>
                <w:highlight w:val="none"/>
              </w:rPr>
              <w:t>★</w:t>
            </w:r>
            <w:r>
              <w:rPr>
                <w:rFonts w:ascii="Times New Roman" w:hAnsi="Times New Roman" w:cs="Times New Roman"/>
                <w:b/>
                <w:bCs/>
                <w:color w:val="auto"/>
                <w:kern w:val="2"/>
                <w:highlight w:val="none"/>
              </w:rPr>
              <w:t>采购预算</w:t>
            </w:r>
          </w:p>
        </w:tc>
        <w:tc>
          <w:tcPr>
            <w:tcW w:w="7146" w:type="dxa"/>
            <w:tcBorders>
              <w:bottom w:val="single" w:color="auto" w:sz="4" w:space="0"/>
            </w:tcBorders>
            <w:vAlign w:val="center"/>
          </w:tcPr>
          <w:p>
            <w:pPr>
              <w:pStyle w:val="245"/>
              <w:jc w:val="both"/>
              <w:rPr>
                <w:rFonts w:ascii="Times New Roman" w:hAnsi="Times New Roman" w:cs="Times New Roman"/>
                <w:b/>
                <w:bCs/>
                <w:color w:val="auto"/>
                <w:highlight w:val="none"/>
              </w:rPr>
            </w:pPr>
            <w:r>
              <w:rPr>
                <w:rFonts w:ascii="Times New Roman" w:hAnsi="Times New Roman" w:cs="Times New Roman"/>
                <w:b/>
                <w:bCs/>
                <w:color w:val="auto"/>
                <w:highlight w:val="none"/>
              </w:rPr>
              <w:t>采购预算：</w:t>
            </w:r>
            <w:r>
              <w:rPr>
                <w:rFonts w:hint="eastAsia" w:ascii="Times New Roman" w:hAnsi="Times New Roman" w:cs="Times New Roman"/>
                <w:b/>
                <w:bCs/>
                <w:color w:val="auto"/>
                <w:highlight w:val="none"/>
                <w:lang w:eastAsia="zh-CN"/>
              </w:rPr>
              <w:t>140</w:t>
            </w:r>
            <w:r>
              <w:rPr>
                <w:rFonts w:hint="eastAsia" w:ascii="Times New Roman" w:hAnsi="Times New Roman" w:cs="Times New Roman"/>
                <w:b/>
                <w:bCs/>
                <w:color w:val="auto"/>
                <w:highlight w:val="none"/>
                <w:lang w:val="en-US" w:eastAsia="zh-CN"/>
              </w:rPr>
              <w:t>万元</w:t>
            </w:r>
            <w:r>
              <w:rPr>
                <w:rFonts w:ascii="Times New Roman" w:hAnsi="Times New Roman" w:cs="Times New Roman"/>
                <w:b/>
                <w:bCs/>
                <w:color w:val="auto"/>
                <w:highlight w:val="none"/>
              </w:rPr>
              <w:t>（人民币）。超过采购预算的最终报价为无效报价，响应文件作无效处理。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Merge w:val="continue"/>
            <w:vAlign w:val="center"/>
          </w:tcPr>
          <w:p>
            <w:pPr>
              <w:jc w:val="center"/>
              <w:rPr>
                <w:rFonts w:ascii="Times New Roman" w:hAnsi="Times New Roman"/>
                <w:color w:val="auto"/>
                <w:sz w:val="24"/>
                <w:highlight w:val="none"/>
              </w:rPr>
            </w:pPr>
          </w:p>
        </w:tc>
        <w:tc>
          <w:tcPr>
            <w:tcW w:w="2199" w:type="dxa"/>
            <w:tcBorders>
              <w:top w:val="single" w:color="auto" w:sz="4" w:space="0"/>
            </w:tcBorders>
            <w:vAlign w:val="center"/>
          </w:tcPr>
          <w:p>
            <w:pPr>
              <w:pStyle w:val="245"/>
              <w:jc w:val="center"/>
              <w:rPr>
                <w:rFonts w:ascii="Times New Roman" w:hAnsi="Times New Roman" w:cs="Times New Roman"/>
                <w:b/>
                <w:bCs/>
                <w:color w:val="auto"/>
                <w:kern w:val="2"/>
                <w:highlight w:val="none"/>
              </w:rPr>
            </w:pPr>
            <w:r>
              <w:rPr>
                <w:rFonts w:ascii="Segoe UI Symbol" w:hAnsi="Segoe UI Symbol" w:cs="Segoe UI Symbol"/>
                <w:b/>
                <w:bCs/>
                <w:color w:val="auto"/>
                <w:highlight w:val="none"/>
              </w:rPr>
              <w:t>★</w:t>
            </w:r>
            <w:r>
              <w:rPr>
                <w:rFonts w:ascii="Times New Roman" w:hAnsi="Times New Roman" w:cs="Times New Roman"/>
                <w:b/>
                <w:bCs/>
                <w:color w:val="auto"/>
                <w:kern w:val="2"/>
                <w:highlight w:val="none"/>
              </w:rPr>
              <w:t>最高限价</w:t>
            </w:r>
          </w:p>
        </w:tc>
        <w:tc>
          <w:tcPr>
            <w:tcW w:w="7146" w:type="dxa"/>
            <w:tcBorders>
              <w:top w:val="single" w:color="auto" w:sz="4" w:space="0"/>
            </w:tcBorders>
            <w:vAlign w:val="center"/>
          </w:tcPr>
          <w:p>
            <w:pPr>
              <w:pStyle w:val="245"/>
              <w:jc w:val="both"/>
              <w:rPr>
                <w:rFonts w:ascii="Times New Roman" w:hAnsi="Times New Roman" w:cs="Times New Roman"/>
                <w:b/>
                <w:bCs/>
                <w:color w:val="auto"/>
                <w:highlight w:val="none"/>
              </w:rPr>
            </w:pPr>
            <w:r>
              <w:rPr>
                <w:rFonts w:ascii="Times New Roman" w:hAnsi="Times New Roman" w:cs="Times New Roman"/>
                <w:b/>
                <w:bCs/>
                <w:color w:val="auto"/>
                <w:highlight w:val="none"/>
              </w:rPr>
              <w:t>最高限价：</w:t>
            </w:r>
            <w:r>
              <w:rPr>
                <w:rFonts w:hint="eastAsia"/>
                <w:b/>
                <w:bCs/>
                <w:color w:val="auto"/>
                <w:highlight w:val="none"/>
                <w:lang w:eastAsia="zh-CN"/>
              </w:rPr>
              <w:t>140万元</w:t>
            </w:r>
            <w:r>
              <w:rPr>
                <w:rFonts w:hint="eastAsia"/>
                <w:b/>
                <w:bCs/>
                <w:color w:val="auto"/>
                <w:highlight w:val="none"/>
              </w:rPr>
              <w:t>（人民币）。超过最高限价的最终报价为无效报价，响应文件作无效处理。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jc w:val="center"/>
              <w:rPr>
                <w:rFonts w:ascii="Times New Roman" w:hAnsi="Times New Roman"/>
                <w:color w:val="auto"/>
                <w:sz w:val="24"/>
                <w:highlight w:val="none"/>
              </w:rPr>
            </w:pPr>
            <w:r>
              <w:rPr>
                <w:rFonts w:ascii="Times New Roman" w:hAnsi="Times New Roman"/>
                <w:color w:val="auto"/>
                <w:sz w:val="24"/>
                <w:highlight w:val="none"/>
              </w:rPr>
              <w:t>3</w:t>
            </w:r>
          </w:p>
        </w:tc>
        <w:tc>
          <w:tcPr>
            <w:tcW w:w="2199" w:type="dxa"/>
            <w:tcBorders>
              <w:top w:val="single" w:color="auto" w:sz="4" w:space="0"/>
            </w:tcBorders>
            <w:vAlign w:val="center"/>
          </w:tcPr>
          <w:p>
            <w:pPr>
              <w:pStyle w:val="245"/>
              <w:jc w:val="center"/>
              <w:rPr>
                <w:rFonts w:ascii="Times New Roman" w:hAnsi="Times New Roman" w:cs="Times New Roman"/>
                <w:color w:val="auto"/>
                <w:highlight w:val="none"/>
              </w:rPr>
            </w:pPr>
            <w:r>
              <w:rPr>
                <w:rFonts w:ascii="Times New Roman" w:hAnsi="Times New Roman" w:cs="Times New Roman"/>
                <w:color w:val="auto"/>
                <w:highlight w:val="none"/>
              </w:rPr>
              <w:t>低于成本价</w:t>
            </w:r>
          </w:p>
          <w:p>
            <w:pPr>
              <w:pStyle w:val="245"/>
              <w:jc w:val="center"/>
              <w:rPr>
                <w:rFonts w:ascii="Times New Roman" w:hAnsi="Times New Roman" w:cs="Times New Roman"/>
                <w:color w:val="auto"/>
                <w:highlight w:val="none"/>
              </w:rPr>
            </w:pPr>
            <w:r>
              <w:rPr>
                <w:rFonts w:ascii="Times New Roman" w:hAnsi="Times New Roman" w:cs="Times New Roman"/>
                <w:color w:val="auto"/>
                <w:highlight w:val="none"/>
              </w:rPr>
              <w:t>不正当竞争预防措施</w:t>
            </w:r>
          </w:p>
          <w:p>
            <w:pPr>
              <w:pStyle w:val="245"/>
              <w:jc w:val="center"/>
              <w:rPr>
                <w:rFonts w:ascii="Times New Roman" w:hAnsi="Times New Roman" w:cs="Times New Roman"/>
                <w:color w:val="auto"/>
                <w:highlight w:val="none"/>
              </w:rPr>
            </w:pPr>
          </w:p>
        </w:tc>
        <w:tc>
          <w:tcPr>
            <w:tcW w:w="7146" w:type="dxa"/>
            <w:tcBorders>
              <w:top w:val="single" w:color="auto" w:sz="4" w:space="0"/>
            </w:tcBorders>
            <w:vAlign w:val="center"/>
          </w:tcPr>
          <w:p>
            <w:pPr>
              <w:pStyle w:val="245"/>
              <w:jc w:val="both"/>
              <w:rPr>
                <w:rFonts w:ascii="Times New Roman" w:hAnsi="Times New Roman" w:cs="Times New Roman"/>
                <w:color w:val="auto"/>
                <w:highlight w:val="none"/>
              </w:rPr>
            </w:pPr>
            <w:r>
              <w:rPr>
                <w:rFonts w:ascii="Times New Roman" w:hAnsi="Times New Roman" w:cs="Times New Roman"/>
                <w:color w:val="auto"/>
                <w:highlight w:val="none"/>
              </w:rPr>
              <w:t>1. 在评审过程中，竞争性磋商小组认为供应商的最终报价明显低于其他通过符合性审查供应商的报价，有可能影响产品质量或者不能诚信履约的，竞争性磋商小组应当要求其在磋商现场合理的时间内提供书面说明，并提交相关证明材料，供应商不能证明其报价合理性的，竞争性磋商小组应当将其响应文件作无效处理。</w:t>
            </w:r>
          </w:p>
          <w:p>
            <w:pPr>
              <w:pStyle w:val="245"/>
              <w:jc w:val="both"/>
              <w:rPr>
                <w:rFonts w:ascii="Times New Roman" w:hAnsi="Times New Roman" w:cs="Times New Roman"/>
                <w:color w:val="auto"/>
                <w:highlight w:val="none"/>
              </w:rPr>
            </w:pPr>
            <w:r>
              <w:rPr>
                <w:rFonts w:ascii="Times New Roman" w:hAnsi="Times New Roman" w:cs="Times New Roman"/>
                <w:color w:val="auto"/>
                <w:highlight w:val="none"/>
              </w:rPr>
              <w:t>供应商的书面说明材料应当按照国家财务会计制度的规定要求，逐项就供应商提供的货物、工程和服务的主营业务成本、税金及附加、销售费用、管理费用、财务费用等成本构成事项详细陈述。</w:t>
            </w:r>
          </w:p>
          <w:p>
            <w:pPr>
              <w:rPr>
                <w:rFonts w:ascii="Times New Roman" w:hAnsi="Times New Roman"/>
                <w:color w:val="auto"/>
                <w:sz w:val="24"/>
                <w:szCs w:val="24"/>
                <w:highlight w:val="none"/>
              </w:rPr>
            </w:pPr>
            <w:r>
              <w:rPr>
                <w:rFonts w:ascii="Times New Roman" w:hAnsi="Times New Roman"/>
                <w:color w:val="auto"/>
                <w:sz w:val="24"/>
                <w:szCs w:val="24"/>
                <w:highlight w:val="none"/>
              </w:rPr>
              <w:t xml:space="preserve">2. 供应商书面说明应当签字确认或者加盖公章，否则无效。书面说明的签字确认，由其法定代表人/主要负责人/本人或者其授权代表签字确认。 </w:t>
            </w:r>
          </w:p>
          <w:p>
            <w:pPr>
              <w:rPr>
                <w:rFonts w:ascii="Times New Roman" w:hAnsi="Times New Roman"/>
                <w:color w:val="auto"/>
                <w:sz w:val="24"/>
                <w:szCs w:val="24"/>
                <w:highlight w:val="none"/>
              </w:rPr>
            </w:pPr>
            <w:r>
              <w:rPr>
                <w:rFonts w:ascii="Times New Roman" w:hAnsi="Times New Roman"/>
                <w:color w:val="auto"/>
                <w:sz w:val="24"/>
                <w:szCs w:val="24"/>
                <w:highlight w:val="none"/>
              </w:rPr>
              <w:t>3.供应商提供书面说明后，竞争性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竞争性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4</w:t>
            </w:r>
          </w:p>
        </w:tc>
        <w:tc>
          <w:tcPr>
            <w:tcW w:w="2199" w:type="dxa"/>
            <w:vAlign w:val="center"/>
          </w:tcPr>
          <w:p>
            <w:pPr>
              <w:pStyle w:val="245"/>
              <w:jc w:val="center"/>
              <w:rPr>
                <w:rFonts w:ascii="Times New Roman" w:hAnsi="Times New Roman" w:cs="Times New Roman"/>
                <w:color w:val="auto"/>
                <w:highlight w:val="none"/>
                <w:lang w:val="zh-CN"/>
              </w:rPr>
            </w:pPr>
            <w:r>
              <w:rPr>
                <w:rFonts w:ascii="Segoe UI Symbol" w:hAnsi="Segoe UI Symbol" w:cs="Segoe UI Symbol"/>
                <w:b/>
                <w:bCs/>
                <w:color w:val="auto"/>
                <w:highlight w:val="none"/>
              </w:rPr>
              <w:t>★</w:t>
            </w:r>
            <w:r>
              <w:rPr>
                <w:rFonts w:ascii="Times New Roman" w:hAnsi="Times New Roman" w:cs="Times New Roman"/>
                <w:color w:val="auto"/>
                <w:highlight w:val="none"/>
                <w:lang w:val="zh-CN"/>
              </w:rPr>
              <w:t>响应文件有效期</w:t>
            </w:r>
          </w:p>
        </w:tc>
        <w:tc>
          <w:tcPr>
            <w:tcW w:w="7146" w:type="dxa"/>
            <w:vAlign w:val="center"/>
          </w:tcPr>
          <w:p>
            <w:pPr>
              <w:pStyle w:val="245"/>
              <w:jc w:val="both"/>
              <w:rPr>
                <w:rFonts w:ascii="Times New Roman" w:hAnsi="Times New Roman" w:cs="Times New Roman"/>
                <w:color w:val="auto"/>
                <w:highlight w:val="none"/>
                <w:lang w:val="zh-CN"/>
              </w:rPr>
            </w:pPr>
            <w:r>
              <w:rPr>
                <w:rFonts w:ascii="Times New Roman" w:hAnsi="Times New Roman" w:cs="Times New Roman"/>
                <w:color w:val="auto"/>
                <w:highlight w:val="none"/>
                <w:lang w:val="zh-CN"/>
              </w:rPr>
              <w:t>响应文件有效期为递交磋商响应文件截止之日起</w:t>
            </w:r>
            <w:r>
              <w:rPr>
                <w:rFonts w:ascii="Times New Roman" w:hAnsi="Times New Roman" w:cs="Times New Roman"/>
                <w:color w:val="auto"/>
                <w:highlight w:val="none"/>
              </w:rPr>
              <w:t>9</w:t>
            </w:r>
            <w:r>
              <w:rPr>
                <w:rFonts w:ascii="Times New Roman" w:hAnsi="Times New Roman" w:cs="Times New Roman"/>
                <w:color w:val="auto"/>
                <w:highlight w:val="none"/>
                <w:lang w:val="zh-CN"/>
              </w:rPr>
              <w:t>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5</w:t>
            </w:r>
          </w:p>
        </w:tc>
        <w:tc>
          <w:tcPr>
            <w:tcW w:w="2199" w:type="dxa"/>
            <w:vAlign w:val="center"/>
          </w:tcPr>
          <w:p>
            <w:pPr>
              <w:pStyle w:val="245"/>
              <w:jc w:val="center"/>
              <w:rPr>
                <w:rFonts w:ascii="Times New Roman" w:hAnsi="Times New Roman" w:cs="Times New Roman"/>
                <w:color w:val="auto"/>
                <w:highlight w:val="none"/>
                <w:lang w:val="zh-CN"/>
              </w:rPr>
            </w:pPr>
            <w:r>
              <w:rPr>
                <w:rFonts w:ascii="Times New Roman" w:hAnsi="Times New Roman" w:cs="Times New Roman"/>
                <w:b/>
                <w:bCs/>
                <w:color w:val="auto"/>
                <w:highlight w:val="none"/>
              </w:rPr>
              <w:t>竞争性磋商</w:t>
            </w:r>
            <w:r>
              <w:rPr>
                <w:rFonts w:ascii="Times New Roman" w:hAnsi="Times New Roman" w:cs="Times New Roman"/>
                <w:b/>
                <w:bCs/>
                <w:color w:val="auto"/>
                <w:highlight w:val="none"/>
                <w:lang w:val="zh-CN"/>
              </w:rPr>
              <w:t>保证金</w:t>
            </w:r>
          </w:p>
        </w:tc>
        <w:tc>
          <w:tcPr>
            <w:tcW w:w="7146" w:type="dxa"/>
            <w:vAlign w:val="center"/>
          </w:tcPr>
          <w:p>
            <w:pPr>
              <w:pStyle w:val="245"/>
              <w:jc w:val="both"/>
              <w:rPr>
                <w:rFonts w:ascii="Times New Roman" w:hAnsi="Times New Roman" w:cs="Times New Roman"/>
                <w:color w:val="auto"/>
                <w:highlight w:val="none"/>
                <w:lang w:val="zh-CN"/>
              </w:rPr>
            </w:pPr>
            <w:r>
              <w:rPr>
                <w:rFonts w:ascii="Times New Roman" w:hAnsi="Times New Roman" w:cs="Times New Roman"/>
                <w:color w:val="auto"/>
                <w:highlight w:val="none"/>
                <w:lang w:val="zh-CN"/>
              </w:rPr>
              <w:t>交款方式：</w:t>
            </w:r>
            <w:r>
              <w:rPr>
                <w:rFonts w:ascii="Times New Roman" w:hAnsi="Times New Roman" w:cs="Times New Roman"/>
                <w:color w:val="auto"/>
                <w:highlight w:val="none"/>
              </w:rPr>
              <w:t>竞争性磋商</w:t>
            </w:r>
            <w:r>
              <w:rPr>
                <w:rFonts w:ascii="Times New Roman" w:hAnsi="Times New Roman" w:cs="Times New Roman"/>
                <w:color w:val="auto"/>
                <w:highlight w:val="none"/>
                <w:lang w:val="zh-CN"/>
              </w:rPr>
              <w:t>保证金应当以支票、汇票、本票或者金融机构、担保机构出具的保函等非现金形式提交（包括网银转账、电汇等方式）。</w:t>
            </w:r>
          </w:p>
          <w:p>
            <w:pPr>
              <w:pStyle w:val="245"/>
              <w:jc w:val="both"/>
              <w:rPr>
                <w:rFonts w:ascii="Times New Roman" w:hAnsi="Times New Roman" w:cs="Times New Roman"/>
                <w:color w:val="auto"/>
                <w:highlight w:val="none"/>
                <w:lang w:val="zh-CN"/>
              </w:rPr>
            </w:pPr>
            <w:r>
              <w:rPr>
                <w:rFonts w:ascii="Times New Roman" w:hAnsi="Times New Roman" w:cs="Times New Roman"/>
                <w:color w:val="auto"/>
                <w:highlight w:val="none"/>
                <w:lang w:val="zh-CN"/>
              </w:rPr>
              <w:t>采用银行转账或电汇形式的，交款截止时间：同递交响应文件截止时间。</w:t>
            </w:r>
          </w:p>
          <w:p>
            <w:pPr>
              <w:pStyle w:val="245"/>
              <w:jc w:val="both"/>
              <w:rPr>
                <w:rFonts w:ascii="Times New Roman" w:hAnsi="Times New Roman" w:cs="Times New Roman"/>
                <w:color w:val="auto"/>
                <w:highlight w:val="none"/>
                <w:lang w:val="zh-CN"/>
              </w:rPr>
            </w:pPr>
            <w:r>
              <w:rPr>
                <w:rFonts w:ascii="Times New Roman" w:hAnsi="Times New Roman" w:cs="Times New Roman"/>
                <w:color w:val="auto"/>
                <w:highlight w:val="none"/>
                <w:lang w:val="zh-CN"/>
              </w:rPr>
              <w:t>采用保函方式缴纳的，保函生效时间应早于递交响应文件截止时间。</w:t>
            </w:r>
            <w:r>
              <w:rPr>
                <w:rFonts w:ascii="Times New Roman" w:hAnsi="Times New Roman" w:cs="Times New Roman"/>
                <w:b/>
                <w:bCs/>
                <w:color w:val="auto"/>
                <w:highlight w:val="none"/>
                <w:lang w:val="zh-CN"/>
              </w:rPr>
              <w:t>（保函原件需要在响应文件递交截止时间前密封提交）</w:t>
            </w:r>
          </w:p>
          <w:p>
            <w:pPr>
              <w:adjustRightInd w:val="0"/>
              <w:snapToGrid w:val="0"/>
              <w:rPr>
                <w:rFonts w:ascii="Times New Roman" w:hAnsi="Times New Roman"/>
                <w:color w:val="auto"/>
                <w:kern w:val="2"/>
                <w:sz w:val="24"/>
                <w:szCs w:val="24"/>
                <w:highlight w:val="none"/>
                <w:lang w:val="zh-CN"/>
              </w:rPr>
            </w:pPr>
            <w:r>
              <w:rPr>
                <w:rFonts w:ascii="Segoe UI Symbol" w:hAnsi="Segoe UI Symbol" w:cs="Segoe UI Symbol"/>
                <w:color w:val="auto"/>
                <w:kern w:val="2"/>
                <w:sz w:val="24"/>
                <w:szCs w:val="24"/>
                <w:highlight w:val="none"/>
              </w:rPr>
              <w:t>★</w:t>
            </w:r>
            <w:r>
              <w:rPr>
                <w:rFonts w:ascii="Times New Roman" w:hAnsi="Times New Roman"/>
                <w:color w:val="auto"/>
                <w:kern w:val="2"/>
                <w:sz w:val="24"/>
                <w:szCs w:val="24"/>
                <w:highlight w:val="none"/>
              </w:rPr>
              <w:t>竞争性磋商</w:t>
            </w:r>
            <w:r>
              <w:rPr>
                <w:rFonts w:ascii="Times New Roman" w:hAnsi="Times New Roman"/>
                <w:color w:val="auto"/>
                <w:kern w:val="2"/>
                <w:sz w:val="24"/>
                <w:szCs w:val="24"/>
                <w:highlight w:val="none"/>
                <w:lang w:val="zh-CN"/>
              </w:rPr>
              <w:t>保证金的金额：</w:t>
            </w:r>
            <w:r>
              <w:rPr>
                <w:rFonts w:hint="eastAsia" w:ascii="Times New Roman" w:hAnsi="Times New Roman"/>
                <w:color w:val="auto"/>
                <w:kern w:val="2"/>
                <w:sz w:val="24"/>
                <w:szCs w:val="24"/>
                <w:highlight w:val="none"/>
                <w:lang w:val="en-US" w:eastAsia="zh-CN"/>
              </w:rPr>
              <w:t>25,000.00</w:t>
            </w:r>
            <w:r>
              <w:rPr>
                <w:rFonts w:hint="eastAsia" w:ascii="Times New Roman" w:hAnsi="Times New Roman"/>
                <w:color w:val="auto"/>
                <w:kern w:val="2"/>
                <w:sz w:val="24"/>
                <w:szCs w:val="24"/>
                <w:highlight w:val="none"/>
              </w:rPr>
              <w:t>元</w:t>
            </w:r>
            <w:r>
              <w:rPr>
                <w:rFonts w:ascii="Times New Roman" w:hAnsi="Times New Roman"/>
                <w:color w:val="auto"/>
                <w:kern w:val="2"/>
                <w:sz w:val="24"/>
                <w:szCs w:val="24"/>
                <w:highlight w:val="none"/>
                <w:lang w:val="zh-CN"/>
              </w:rPr>
              <w:t>(大写：</w:t>
            </w:r>
            <w:r>
              <w:rPr>
                <w:rFonts w:hint="eastAsia" w:ascii="Times New Roman" w:hAnsi="Times New Roman"/>
                <w:color w:val="auto"/>
                <w:kern w:val="2"/>
                <w:sz w:val="24"/>
                <w:szCs w:val="24"/>
                <w:highlight w:val="none"/>
                <w:lang w:eastAsia="zh-CN"/>
              </w:rPr>
              <w:t>贰万伍仟元整</w:t>
            </w:r>
            <w:r>
              <w:rPr>
                <w:rFonts w:ascii="Times New Roman" w:hAnsi="Times New Roman"/>
                <w:color w:val="auto"/>
                <w:kern w:val="2"/>
                <w:sz w:val="24"/>
                <w:szCs w:val="24"/>
                <w:highlight w:val="none"/>
                <w:lang w:val="zh-CN"/>
              </w:rPr>
              <w:t>)</w:t>
            </w:r>
          </w:p>
          <w:p>
            <w:pPr>
              <w:pStyle w:val="222"/>
              <w:adjustRightInd w:val="0"/>
              <w:snapToGrid w:val="0"/>
              <w:spacing w:line="240" w:lineRule="auto"/>
              <w:ind w:right="170" w:rightChars="50"/>
              <w:rPr>
                <w:rFonts w:ascii="Times New Roman" w:hAnsi="Times New Roman"/>
                <w:color w:val="auto"/>
                <w:kern w:val="2"/>
                <w:highlight w:val="none"/>
                <w:lang w:val="zh-CN"/>
              </w:rPr>
            </w:pPr>
            <w:r>
              <w:rPr>
                <w:rFonts w:ascii="Times New Roman" w:hAnsi="Times New Roman"/>
                <w:color w:val="auto"/>
                <w:kern w:val="2"/>
                <w:highlight w:val="none"/>
                <w:lang w:val="zh-CN"/>
              </w:rPr>
              <w:t>保证金收款子账户获取方式：登录【中化电子招投标平台】，点击【获取文件及电子发票】菜单，点击【子账号查看】按钮，查看</w:t>
            </w:r>
            <w:r>
              <w:rPr>
                <w:rFonts w:ascii="Times New Roman" w:hAnsi="Times New Roman"/>
                <w:color w:val="auto"/>
                <w:highlight w:val="none"/>
              </w:rPr>
              <w:t>竞争性磋商</w:t>
            </w:r>
            <w:r>
              <w:rPr>
                <w:rFonts w:ascii="Times New Roman" w:hAnsi="Times New Roman"/>
                <w:color w:val="auto"/>
                <w:kern w:val="2"/>
                <w:highlight w:val="none"/>
                <w:lang w:val="zh-CN"/>
              </w:rPr>
              <w:t>保证金收款子账户信息（为23位银行帐号）。</w:t>
            </w:r>
          </w:p>
          <w:p>
            <w:pPr>
              <w:pStyle w:val="245"/>
              <w:jc w:val="both"/>
              <w:rPr>
                <w:rFonts w:ascii="Times New Roman" w:hAnsi="Times New Roman" w:cs="Times New Roman"/>
                <w:color w:val="auto"/>
                <w:kern w:val="2"/>
                <w:highlight w:val="none"/>
                <w:lang w:val="zh-CN"/>
              </w:rPr>
            </w:pPr>
            <w:r>
              <w:rPr>
                <w:rFonts w:ascii="Times New Roman" w:hAnsi="Times New Roman" w:cs="Times New Roman"/>
                <w:color w:val="auto"/>
                <w:kern w:val="2"/>
                <w:highlight w:val="none"/>
                <w:lang w:val="zh-CN"/>
              </w:rPr>
              <w:t>注</w:t>
            </w:r>
            <w:r>
              <w:rPr>
                <w:rFonts w:ascii="Times New Roman" w:hAnsi="Times New Roman" w:cs="Times New Roman"/>
                <w:color w:val="auto"/>
                <w:kern w:val="2"/>
                <w:highlight w:val="none"/>
              </w:rPr>
              <w:t>1</w:t>
            </w:r>
            <w:r>
              <w:rPr>
                <w:rFonts w:ascii="Times New Roman" w:hAnsi="Times New Roman" w:cs="Times New Roman"/>
                <w:color w:val="auto"/>
                <w:kern w:val="2"/>
                <w:highlight w:val="none"/>
                <w:lang w:val="zh-CN"/>
              </w:rPr>
              <w:t>：供应商以现金形式递交的保证金不接受。</w:t>
            </w:r>
          </w:p>
          <w:p>
            <w:pPr>
              <w:pStyle w:val="245"/>
              <w:jc w:val="both"/>
              <w:rPr>
                <w:rFonts w:ascii="Times New Roman" w:hAnsi="Times New Roman" w:cs="Times New Roman"/>
                <w:color w:val="auto"/>
                <w:kern w:val="2"/>
                <w:highlight w:val="none"/>
              </w:rPr>
            </w:pPr>
            <w:r>
              <w:rPr>
                <w:rFonts w:ascii="Times New Roman" w:hAnsi="Times New Roman" w:cs="Times New Roman"/>
                <w:color w:val="auto"/>
                <w:kern w:val="2"/>
                <w:highlight w:val="none"/>
                <w:lang w:val="zh-CN"/>
              </w:rPr>
              <w:t>注</w:t>
            </w:r>
            <w:r>
              <w:rPr>
                <w:rFonts w:ascii="Times New Roman" w:hAnsi="Times New Roman" w:cs="Times New Roman"/>
                <w:color w:val="auto"/>
                <w:kern w:val="2"/>
                <w:highlight w:val="none"/>
              </w:rPr>
              <w:t>2：联合体参加</w:t>
            </w:r>
            <w:r>
              <w:rPr>
                <w:rFonts w:ascii="Times New Roman" w:hAnsi="Times New Roman" w:cs="Times New Roman"/>
                <w:color w:val="auto"/>
                <w:highlight w:val="none"/>
              </w:rPr>
              <w:t>磋商</w:t>
            </w:r>
            <w:r>
              <w:rPr>
                <w:rFonts w:ascii="Times New Roman" w:hAnsi="Times New Roman" w:cs="Times New Roman"/>
                <w:color w:val="auto"/>
                <w:kern w:val="2"/>
                <w:highlight w:val="none"/>
              </w:rPr>
              <w:t>的，联合体牵头人单位缴纳</w:t>
            </w:r>
            <w:r>
              <w:rPr>
                <w:rFonts w:ascii="Times New Roman" w:hAnsi="Times New Roman" w:cs="Times New Roman"/>
                <w:color w:val="auto"/>
                <w:highlight w:val="none"/>
              </w:rPr>
              <w:t>竞争性磋商</w:t>
            </w:r>
            <w:r>
              <w:rPr>
                <w:rFonts w:ascii="Times New Roman" w:hAnsi="Times New Roman" w:cs="Times New Roman"/>
                <w:color w:val="auto"/>
                <w:kern w:val="2"/>
                <w:highlight w:val="none"/>
              </w:rPr>
              <w:t>保证金即可，联合体成员单位无需缴纳</w:t>
            </w:r>
            <w:r>
              <w:rPr>
                <w:rFonts w:ascii="Times New Roman" w:hAnsi="Times New Roman" w:cs="Times New Roman"/>
                <w:color w:val="auto"/>
                <w:highlight w:val="none"/>
              </w:rPr>
              <w:t>磋商</w:t>
            </w:r>
            <w:r>
              <w:rPr>
                <w:rFonts w:ascii="Times New Roman" w:hAnsi="Times New Roman" w:cs="Times New Roman"/>
                <w:color w:val="auto"/>
                <w:kern w:val="2"/>
                <w:highlight w:val="none"/>
              </w:rPr>
              <w:t>保证金。</w:t>
            </w:r>
          </w:p>
          <w:p>
            <w:pPr>
              <w:pStyle w:val="245"/>
              <w:jc w:val="both"/>
              <w:rPr>
                <w:rFonts w:ascii="Times New Roman" w:hAnsi="Times New Roman" w:cs="Times New Roman"/>
                <w:color w:val="auto"/>
                <w:kern w:val="2"/>
                <w:highlight w:val="none"/>
              </w:rPr>
            </w:pPr>
            <w:r>
              <w:rPr>
                <w:rFonts w:hint="eastAsia" w:ascii="Times New Roman" w:hAnsi="Times New Roman" w:cs="Times New Roman"/>
                <w:color w:val="auto"/>
                <w:kern w:val="2"/>
                <w:sz w:val="22"/>
                <w:szCs w:val="22"/>
                <w:highlight w:val="none"/>
              </w:rPr>
              <w:t>★</w:t>
            </w:r>
            <w:r>
              <w:rPr>
                <w:rFonts w:hint="eastAsia" w:ascii="Times New Roman" w:hAnsi="Times New Roman" w:cs="Times New Roman"/>
                <w:color w:val="auto"/>
                <w:kern w:val="2"/>
                <w:highlight w:val="none"/>
              </w:rPr>
              <w:t>注3：</w:t>
            </w:r>
            <w:r>
              <w:rPr>
                <w:rFonts w:hint="eastAsia" w:ascii="Arial" w:hAnsi="Arial" w:cs="Arial"/>
                <w:color w:val="auto"/>
                <w:highlight w:val="none"/>
              </w:rPr>
              <w:t>磋商</w:t>
            </w:r>
            <w:r>
              <w:rPr>
                <w:rFonts w:ascii="Arial" w:hAnsi="Arial" w:cs="Arial"/>
                <w:color w:val="auto"/>
                <w:kern w:val="2"/>
                <w:highlight w:val="none"/>
                <w:lang w:val="zh-CN"/>
              </w:rPr>
              <w:t>保证金</w:t>
            </w:r>
            <w:r>
              <w:rPr>
                <w:rFonts w:hint="eastAsia" w:ascii="Arial" w:hAnsi="Arial" w:cs="Arial"/>
                <w:color w:val="auto"/>
                <w:kern w:val="2"/>
                <w:highlight w:val="none"/>
                <w:lang w:val="zh-CN"/>
              </w:rPr>
              <w:t>应以供应商单位的名义缴纳或以供应商单位的名义递交保函。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6</w:t>
            </w:r>
          </w:p>
        </w:tc>
        <w:tc>
          <w:tcPr>
            <w:tcW w:w="2199" w:type="dxa"/>
            <w:vAlign w:val="center"/>
          </w:tcPr>
          <w:p>
            <w:pPr>
              <w:spacing w:line="440" w:lineRule="exact"/>
              <w:jc w:val="center"/>
              <w:rPr>
                <w:rFonts w:ascii="Times New Roman" w:hAnsi="Times New Roman"/>
                <w:color w:val="auto"/>
                <w:szCs w:val="22"/>
                <w:highlight w:val="none"/>
                <w:lang w:val="zh-CN"/>
              </w:rPr>
            </w:pPr>
            <w:r>
              <w:rPr>
                <w:rFonts w:hint="eastAsia" w:hAnsi="宋体" w:cs="宋体"/>
                <w:color w:val="auto"/>
                <w:sz w:val="24"/>
                <w:szCs w:val="24"/>
                <w:highlight w:val="none"/>
              </w:rPr>
              <w:t>★</w:t>
            </w:r>
            <w:r>
              <w:rPr>
                <w:rFonts w:ascii="Times New Roman" w:hAnsi="Times New Roman"/>
                <w:color w:val="auto"/>
                <w:sz w:val="24"/>
                <w:szCs w:val="24"/>
                <w:highlight w:val="none"/>
              </w:rPr>
              <w:t>合同分包</w:t>
            </w:r>
          </w:p>
        </w:tc>
        <w:tc>
          <w:tcPr>
            <w:tcW w:w="7146" w:type="dxa"/>
            <w:vAlign w:val="center"/>
          </w:tcPr>
          <w:p>
            <w:pPr>
              <w:rPr>
                <w:rFonts w:ascii="Times New Roman" w:hAnsi="Times New Roman"/>
                <w:color w:val="auto"/>
                <w:sz w:val="24"/>
                <w:szCs w:val="24"/>
                <w:highlight w:val="none"/>
              </w:rPr>
            </w:pPr>
            <w:r>
              <w:rPr>
                <w:rFonts w:ascii="Times New Roman" w:hAnsi="Times New Roman"/>
                <w:color w:val="auto"/>
                <w:sz w:val="24"/>
                <w:szCs w:val="24"/>
                <w:highlight w:val="none"/>
              </w:rPr>
              <w:sym w:font="Wingdings 2" w:char="0052"/>
            </w:r>
            <w:r>
              <w:rPr>
                <w:rFonts w:ascii="Times New Roman" w:hAnsi="Times New Roman"/>
                <w:color w:val="auto"/>
                <w:sz w:val="24"/>
                <w:szCs w:val="24"/>
                <w:highlight w:val="none"/>
              </w:rPr>
              <w:t>不允许分包</w:t>
            </w:r>
            <w:r>
              <w:rPr>
                <w:rFonts w:hint="eastAsia" w:ascii="Times New Roman" w:hAnsi="Times New Roman"/>
                <w:color w:val="auto"/>
                <w:sz w:val="24"/>
                <w:szCs w:val="24"/>
                <w:highlight w:val="none"/>
              </w:rPr>
              <w:t>（代理商不适用）</w:t>
            </w:r>
          </w:p>
          <w:p>
            <w:pPr>
              <w:rPr>
                <w:rFonts w:ascii="Times New Roman" w:hAnsi="Times New Roman"/>
                <w:color w:val="auto"/>
                <w:sz w:val="24"/>
                <w:szCs w:val="24"/>
                <w:highlight w:val="none"/>
              </w:rPr>
            </w:pPr>
            <w:r>
              <w:rPr>
                <w:rFonts w:ascii="Times New Roman" w:hAnsi="Times New Roman"/>
                <w:color w:val="auto"/>
                <w:sz w:val="24"/>
                <w:szCs w:val="24"/>
                <w:highlight w:val="none"/>
              </w:rPr>
              <w:t>□允许分包，要求如下：</w:t>
            </w:r>
          </w:p>
          <w:p>
            <w:pPr>
              <w:numPr>
                <w:ilvl w:val="0"/>
                <w:numId w:val="13"/>
              </w:numPr>
              <w:rPr>
                <w:rFonts w:ascii="Times New Roman" w:hAnsi="Times New Roman"/>
                <w:color w:val="auto"/>
                <w:sz w:val="24"/>
                <w:szCs w:val="24"/>
                <w:highlight w:val="none"/>
              </w:rPr>
            </w:pPr>
            <w:r>
              <w:rPr>
                <w:rFonts w:ascii="Times New Roman" w:hAnsi="Times New Roman"/>
                <w:color w:val="auto"/>
                <w:sz w:val="24"/>
                <w:szCs w:val="24"/>
                <w:highlight w:val="none"/>
                <w:lang w:val="zh-CN"/>
              </w:rPr>
              <w:t>允许分包的内容：</w:t>
            </w:r>
            <w:r>
              <w:rPr>
                <w:rFonts w:ascii="Times New Roman" w:hAnsi="Times New Roman"/>
                <w:color w:val="auto"/>
                <w:sz w:val="24"/>
                <w:szCs w:val="24"/>
                <w:highlight w:val="none"/>
              </w:rPr>
              <w:t>/</w:t>
            </w:r>
          </w:p>
          <w:p>
            <w:pPr>
              <w:pStyle w:val="2"/>
              <w:numPr>
                <w:ilvl w:val="0"/>
                <w:numId w:val="13"/>
              </w:numPr>
              <w:rPr>
                <w:rFonts w:ascii="Times New Roman"/>
                <w:color w:val="auto"/>
                <w:sz w:val="24"/>
                <w:szCs w:val="24"/>
                <w:highlight w:val="none"/>
              </w:rPr>
            </w:pPr>
            <w:r>
              <w:rPr>
                <w:rFonts w:ascii="Times New Roman"/>
                <w:color w:val="auto"/>
                <w:sz w:val="24"/>
                <w:szCs w:val="24"/>
                <w:highlight w:val="none"/>
              </w:rPr>
              <w:t>分包供应商的资格要求：/</w:t>
            </w:r>
          </w:p>
          <w:p>
            <w:pPr>
              <w:rPr>
                <w:rFonts w:ascii="Times New Roman" w:hAnsi="Times New Roman"/>
                <w:color w:val="auto"/>
                <w:szCs w:val="22"/>
                <w:highlight w:val="none"/>
              </w:rPr>
            </w:pPr>
            <w:r>
              <w:rPr>
                <w:rFonts w:ascii="Times New Roman" w:hAnsi="Times New Roman"/>
                <w:color w:val="auto"/>
                <w:sz w:val="24"/>
                <w:szCs w:val="24"/>
                <w:highlight w:val="none"/>
              </w:rPr>
              <w:t>供应商应当在响应文件中提供分包意向协议，并在协议中载明分包承担主体，分包承担主体应当具备相应资质条件且不得再次分包，否则其响应文件作无效处理。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7</w:t>
            </w:r>
          </w:p>
        </w:tc>
        <w:tc>
          <w:tcPr>
            <w:tcW w:w="2199" w:type="dxa"/>
            <w:vAlign w:val="center"/>
          </w:tcPr>
          <w:p>
            <w:pPr>
              <w:pStyle w:val="245"/>
              <w:jc w:val="center"/>
              <w:rPr>
                <w:rFonts w:ascii="Times New Roman" w:hAnsi="Times New Roman" w:cs="Times New Roman"/>
                <w:color w:val="auto"/>
                <w:szCs w:val="22"/>
                <w:highlight w:val="none"/>
                <w:lang w:val="zh-CN"/>
              </w:rPr>
            </w:pPr>
            <w:r>
              <w:rPr>
                <w:rFonts w:ascii="Times New Roman" w:hAnsi="Times New Roman" w:cs="Times New Roman"/>
                <w:color w:val="auto"/>
                <w:szCs w:val="22"/>
                <w:highlight w:val="none"/>
                <w:lang w:val="zh-CN"/>
              </w:rPr>
              <w:t>履约保证金</w:t>
            </w:r>
          </w:p>
        </w:tc>
        <w:tc>
          <w:tcPr>
            <w:tcW w:w="7146" w:type="dxa"/>
            <w:vAlign w:val="center"/>
          </w:tcPr>
          <w:p>
            <w:pPr>
              <w:pStyle w:val="245"/>
              <w:rPr>
                <w:rFonts w:hint="eastAsia" w:ascii="Times New Roman" w:hAnsi="Times New Roman" w:eastAsia="宋体" w:cs="Times New Roman"/>
                <w:color w:val="auto"/>
                <w:szCs w:val="22"/>
                <w:highlight w:val="none"/>
                <w:lang w:val="zh-CN" w:eastAsia="zh-CN"/>
              </w:rPr>
            </w:pPr>
            <w:r>
              <w:rPr>
                <w:rFonts w:hint="eastAsia"/>
                <w:color w:val="auto"/>
                <w:kern w:val="1"/>
                <w:sz w:val="24"/>
                <w:highlight w:val="none"/>
                <w:lang w:val="en-US" w:eastAsia="zh-CN"/>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tcBorders>
              <w:top w:val="single" w:color="auto" w:sz="4" w:space="0"/>
              <w:bottom w:val="single" w:color="auto" w:sz="4" w:space="0"/>
            </w:tcBorders>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8</w:t>
            </w:r>
          </w:p>
        </w:tc>
        <w:tc>
          <w:tcPr>
            <w:tcW w:w="2199" w:type="dxa"/>
            <w:tcBorders>
              <w:top w:val="single" w:color="auto" w:sz="4" w:space="0"/>
              <w:bottom w:val="single" w:color="auto" w:sz="4" w:space="0"/>
            </w:tcBorders>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采购文件咨询</w:t>
            </w:r>
          </w:p>
        </w:tc>
        <w:tc>
          <w:tcPr>
            <w:tcW w:w="7146" w:type="dxa"/>
            <w:tcBorders>
              <w:top w:val="single" w:color="auto" w:sz="4" w:space="0"/>
              <w:bottom w:val="single" w:color="auto" w:sz="4" w:space="0"/>
            </w:tcBorders>
            <w:vAlign w:val="center"/>
          </w:tcPr>
          <w:p>
            <w:pPr>
              <w:widowControl/>
              <w:rPr>
                <w:rFonts w:ascii="Times New Roman" w:hAnsi="Times New Roman"/>
                <w:color w:val="auto"/>
                <w:sz w:val="24"/>
                <w:highlight w:val="none"/>
                <w:lang w:val="zh-CN"/>
              </w:rPr>
            </w:pPr>
            <w:r>
              <w:rPr>
                <w:rFonts w:ascii="Times New Roman" w:hAnsi="Times New Roman"/>
                <w:color w:val="auto"/>
                <w:sz w:val="24"/>
                <w:highlight w:val="none"/>
              </w:rPr>
              <w:t>联系人：</w:t>
            </w:r>
            <w:r>
              <w:rPr>
                <w:rFonts w:hint="eastAsia" w:ascii="Times New Roman" w:hAnsi="Times New Roman"/>
                <w:color w:val="auto"/>
                <w:sz w:val="24"/>
                <w:highlight w:val="none"/>
              </w:rPr>
              <w:t>蒋佳岑、陈维</w:t>
            </w:r>
            <w:r>
              <w:rPr>
                <w:rFonts w:ascii="Times New Roman" w:hAnsi="Times New Roman"/>
                <w:color w:val="auto"/>
                <w:sz w:val="24"/>
                <w:highlight w:val="none"/>
              </w:rPr>
              <w:t>，联系电话：0816-2489230。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tcBorders>
              <w:top w:val="single" w:color="auto" w:sz="4" w:space="0"/>
              <w:bottom w:val="single" w:color="auto" w:sz="4" w:space="0"/>
            </w:tcBorders>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9</w:t>
            </w:r>
          </w:p>
        </w:tc>
        <w:tc>
          <w:tcPr>
            <w:tcW w:w="2199" w:type="dxa"/>
            <w:tcBorders>
              <w:top w:val="single" w:color="auto" w:sz="4" w:space="0"/>
              <w:bottom w:val="single" w:color="auto" w:sz="4" w:space="0"/>
            </w:tcBorders>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highlight w:val="none"/>
              </w:rPr>
              <w:t>竞争性磋商</w:t>
            </w:r>
            <w:r>
              <w:rPr>
                <w:rFonts w:ascii="Times New Roman" w:hAnsi="Times New Roman" w:cs="Times New Roman"/>
                <w:color w:val="auto"/>
                <w:highlight w:val="none"/>
                <w:lang w:val="zh-CN"/>
              </w:rPr>
              <w:t>过程、结果工作咨询</w:t>
            </w:r>
          </w:p>
        </w:tc>
        <w:tc>
          <w:tcPr>
            <w:tcW w:w="7146" w:type="dxa"/>
            <w:tcBorders>
              <w:top w:val="single" w:color="auto" w:sz="4" w:space="0"/>
              <w:bottom w:val="single" w:color="auto" w:sz="4" w:space="0"/>
            </w:tcBorders>
            <w:vAlign w:val="center"/>
          </w:tcPr>
          <w:p>
            <w:pPr>
              <w:widowControl/>
              <w:jc w:val="left"/>
              <w:rPr>
                <w:rFonts w:ascii="Times New Roman" w:hAnsi="Times New Roman"/>
                <w:color w:val="auto"/>
                <w:sz w:val="24"/>
                <w:highlight w:val="none"/>
              </w:rPr>
            </w:pPr>
            <w:r>
              <w:rPr>
                <w:rFonts w:ascii="Times New Roman" w:hAnsi="Times New Roman"/>
                <w:color w:val="auto"/>
                <w:sz w:val="24"/>
                <w:highlight w:val="none"/>
              </w:rPr>
              <w:t>联系人：</w:t>
            </w:r>
            <w:r>
              <w:rPr>
                <w:rFonts w:hint="eastAsia" w:ascii="Times New Roman" w:hAnsi="Times New Roman"/>
                <w:color w:val="auto"/>
                <w:sz w:val="24"/>
                <w:highlight w:val="none"/>
              </w:rPr>
              <w:t>蒋佳岑、陈维</w:t>
            </w:r>
            <w:r>
              <w:rPr>
                <w:rFonts w:ascii="Times New Roman" w:hAnsi="Times New Roman"/>
                <w:color w:val="auto"/>
                <w:sz w:val="24"/>
                <w:highlight w:val="none"/>
              </w:rPr>
              <w:t>，联系电话：0816-2489230。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tcBorders>
              <w:top w:val="single" w:color="auto" w:sz="4" w:space="0"/>
            </w:tcBorders>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10</w:t>
            </w:r>
          </w:p>
        </w:tc>
        <w:tc>
          <w:tcPr>
            <w:tcW w:w="2199" w:type="dxa"/>
            <w:tcBorders>
              <w:top w:val="single" w:color="auto" w:sz="4" w:space="0"/>
            </w:tcBorders>
            <w:vAlign w:val="center"/>
          </w:tcPr>
          <w:p>
            <w:pPr>
              <w:jc w:val="center"/>
              <w:rPr>
                <w:rFonts w:ascii="Times New Roman" w:hAnsi="Times New Roman"/>
                <w:color w:val="auto"/>
                <w:sz w:val="24"/>
                <w:highlight w:val="none"/>
              </w:rPr>
            </w:pPr>
            <w:r>
              <w:rPr>
                <w:rFonts w:ascii="Times New Roman" w:hAnsi="Times New Roman"/>
                <w:color w:val="auto"/>
                <w:sz w:val="24"/>
                <w:highlight w:val="none"/>
              </w:rPr>
              <w:t>成交通知书领取</w:t>
            </w:r>
          </w:p>
        </w:tc>
        <w:tc>
          <w:tcPr>
            <w:tcW w:w="7146" w:type="dxa"/>
            <w:tcBorders>
              <w:top w:val="single" w:color="auto" w:sz="4" w:space="0"/>
            </w:tcBorders>
            <w:vAlign w:val="center"/>
          </w:tcPr>
          <w:p>
            <w:pPr>
              <w:tabs>
                <w:tab w:val="left" w:pos="7665"/>
              </w:tabs>
              <w:rPr>
                <w:rFonts w:ascii="Times New Roman" w:hAnsi="Times New Roman"/>
                <w:color w:val="auto"/>
                <w:sz w:val="24"/>
                <w:highlight w:val="none"/>
              </w:rPr>
            </w:pPr>
            <w:r>
              <w:rPr>
                <w:rFonts w:ascii="Times New Roman" w:hAnsi="Times New Roman"/>
                <w:color w:val="auto"/>
                <w:sz w:val="24"/>
                <w:highlight w:val="none"/>
              </w:rPr>
              <w:t>在</w:t>
            </w:r>
            <w:r>
              <w:rPr>
                <w:rFonts w:hint="eastAsia" w:ascii="Times New Roman" w:hAnsi="Times New Roman"/>
                <w:color w:val="auto"/>
                <w:sz w:val="24"/>
                <w:szCs w:val="24"/>
                <w:highlight w:val="none"/>
                <w:lang w:eastAsia="zh-CN"/>
              </w:rPr>
              <w:t>中国政府采购网</w:t>
            </w:r>
            <w:r>
              <w:rPr>
                <w:rFonts w:ascii="Times New Roman" w:hAnsi="Times New Roman"/>
                <w:color w:val="auto"/>
                <w:sz w:val="24"/>
                <w:highlight w:val="none"/>
              </w:rPr>
              <w:t>上发布成交公告后，请成交供应商凭有效身份证明证件到中化商务有限公司领取成交通知书。</w:t>
            </w:r>
          </w:p>
          <w:p>
            <w:pPr>
              <w:rPr>
                <w:rFonts w:ascii="Times New Roman" w:hAnsi="Times New Roman"/>
                <w:color w:val="auto"/>
                <w:sz w:val="24"/>
                <w:highlight w:val="none"/>
                <w:lang w:val="zh-CN"/>
              </w:rPr>
            </w:pPr>
            <w:r>
              <w:rPr>
                <w:rFonts w:ascii="Times New Roman" w:hAnsi="Times New Roman"/>
                <w:color w:val="auto"/>
                <w:sz w:val="24"/>
                <w:highlight w:val="none"/>
                <w:lang w:val="zh-CN"/>
              </w:rPr>
              <w:t>联系人：</w:t>
            </w:r>
            <w:r>
              <w:rPr>
                <w:rFonts w:hint="eastAsia" w:ascii="Times New Roman" w:hAnsi="Times New Roman"/>
                <w:color w:val="auto"/>
                <w:sz w:val="24"/>
                <w:highlight w:val="none"/>
              </w:rPr>
              <w:t>蒋佳岑、陈维</w:t>
            </w:r>
            <w:r>
              <w:rPr>
                <w:rFonts w:ascii="Times New Roman" w:hAnsi="Times New Roman"/>
                <w:color w:val="auto"/>
                <w:sz w:val="24"/>
                <w:highlight w:val="none"/>
                <w:lang w:val="zh-CN"/>
              </w:rPr>
              <w:t>。</w:t>
            </w:r>
          </w:p>
          <w:p>
            <w:pPr>
              <w:rPr>
                <w:rFonts w:ascii="Times New Roman" w:hAnsi="Times New Roman"/>
                <w:color w:val="auto"/>
                <w:sz w:val="24"/>
                <w:highlight w:val="none"/>
                <w:lang w:val="zh-CN"/>
              </w:rPr>
            </w:pPr>
            <w:r>
              <w:rPr>
                <w:rFonts w:ascii="Times New Roman" w:hAnsi="Times New Roman"/>
                <w:color w:val="auto"/>
                <w:sz w:val="24"/>
                <w:highlight w:val="none"/>
                <w:lang w:val="zh-CN"/>
              </w:rPr>
              <w:t>联系电话：</w:t>
            </w:r>
            <w:r>
              <w:rPr>
                <w:rFonts w:ascii="Times New Roman" w:hAnsi="Times New Roman"/>
                <w:color w:val="auto"/>
                <w:sz w:val="24"/>
                <w:highlight w:val="none"/>
              </w:rPr>
              <w:t>0816-2489230</w:t>
            </w:r>
            <w:r>
              <w:rPr>
                <w:rFonts w:ascii="Times New Roman" w:hAnsi="Times New Roman"/>
                <w:color w:val="auto"/>
                <w:sz w:val="24"/>
                <w:highlight w:val="none"/>
                <w:lang w:val="zh-CN"/>
              </w:rPr>
              <w:t>。</w:t>
            </w:r>
          </w:p>
          <w:p>
            <w:pPr>
              <w:rPr>
                <w:rFonts w:ascii="Times New Roman" w:hAnsi="Times New Roman"/>
                <w:color w:val="auto"/>
                <w:sz w:val="24"/>
                <w:highlight w:val="none"/>
              </w:rPr>
            </w:pPr>
            <w:r>
              <w:rPr>
                <w:rFonts w:ascii="Times New Roman" w:hAnsi="Times New Roman"/>
                <w:color w:val="auto"/>
                <w:sz w:val="24"/>
                <w:highlight w:val="none"/>
                <w:lang w:val="zh-CN"/>
              </w:rPr>
              <w:t>地址：四川省绵阳市绵山路</w:t>
            </w:r>
            <w:r>
              <w:rPr>
                <w:rFonts w:ascii="Times New Roman" w:hAnsi="Times New Roman"/>
                <w:color w:val="auto"/>
                <w:sz w:val="24"/>
                <w:highlight w:val="none"/>
              </w:rPr>
              <w:t>64号</w:t>
            </w:r>
            <w:r>
              <w:rPr>
                <w:rFonts w:hint="eastAsia" w:ascii="Times New Roman" w:hAnsi="Times New Roman"/>
                <w:color w:val="auto"/>
                <w:sz w:val="24"/>
                <w:highlight w:val="none"/>
              </w:rPr>
              <w:t>华庭酒店</w:t>
            </w:r>
            <w:r>
              <w:rPr>
                <w:rFonts w:ascii="Times New Roman" w:hAnsi="Times New Roman"/>
                <w:color w:val="auto"/>
                <w:sz w:val="24"/>
                <w:highlight w:val="none"/>
              </w:rPr>
              <w:t>301号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tcBorders>
              <w:top w:val="single" w:color="auto" w:sz="4" w:space="0"/>
            </w:tcBorders>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11</w:t>
            </w:r>
          </w:p>
        </w:tc>
        <w:tc>
          <w:tcPr>
            <w:tcW w:w="2199" w:type="dxa"/>
            <w:tcBorders>
              <w:top w:val="single" w:color="auto" w:sz="4" w:space="0"/>
            </w:tcBorders>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供应商询问</w:t>
            </w:r>
          </w:p>
        </w:tc>
        <w:tc>
          <w:tcPr>
            <w:tcW w:w="7146" w:type="dxa"/>
            <w:tcBorders>
              <w:top w:val="single" w:color="auto" w:sz="4" w:space="0"/>
            </w:tcBorders>
          </w:tcPr>
          <w:p>
            <w:pPr>
              <w:jc w:val="left"/>
              <w:rPr>
                <w:rFonts w:ascii="Times New Roman" w:hAnsi="Times New Roman"/>
                <w:color w:val="auto"/>
                <w:sz w:val="24"/>
                <w:highlight w:val="none"/>
                <w:lang w:val="zh-CN"/>
              </w:rPr>
            </w:pPr>
            <w:r>
              <w:rPr>
                <w:rFonts w:ascii="Times New Roman" w:hAnsi="Times New Roman"/>
                <w:color w:val="auto"/>
                <w:sz w:val="24"/>
                <w:highlight w:val="none"/>
              </w:rPr>
              <w:t>供应商询问由中化商务有限公司</w:t>
            </w:r>
            <w:r>
              <w:rPr>
                <w:rFonts w:ascii="Times New Roman" w:hAnsi="Times New Roman"/>
                <w:color w:val="auto"/>
                <w:sz w:val="24"/>
                <w:highlight w:val="none"/>
                <w:lang w:val="zh-CN"/>
              </w:rPr>
              <w:t>负责答复。</w:t>
            </w:r>
          </w:p>
          <w:p>
            <w:pPr>
              <w:jc w:val="left"/>
              <w:rPr>
                <w:rFonts w:ascii="Times New Roman" w:hAnsi="Times New Roman"/>
                <w:color w:val="auto"/>
                <w:sz w:val="24"/>
                <w:highlight w:val="none"/>
                <w:lang w:val="zh-CN"/>
              </w:rPr>
            </w:pPr>
            <w:r>
              <w:rPr>
                <w:rFonts w:ascii="Times New Roman" w:hAnsi="Times New Roman"/>
                <w:color w:val="auto"/>
                <w:sz w:val="24"/>
                <w:highlight w:val="none"/>
                <w:lang w:val="zh-CN"/>
              </w:rPr>
              <w:t>联系人：</w:t>
            </w:r>
            <w:r>
              <w:rPr>
                <w:rFonts w:hint="eastAsia" w:ascii="Times New Roman" w:hAnsi="Times New Roman"/>
                <w:color w:val="auto"/>
                <w:sz w:val="24"/>
                <w:highlight w:val="none"/>
              </w:rPr>
              <w:t>蒋佳岑、陈维</w:t>
            </w:r>
            <w:r>
              <w:rPr>
                <w:rFonts w:ascii="Times New Roman" w:hAnsi="Times New Roman"/>
                <w:color w:val="auto"/>
                <w:sz w:val="24"/>
                <w:highlight w:val="none"/>
                <w:lang w:val="zh-CN"/>
              </w:rPr>
              <w:t>。</w:t>
            </w:r>
          </w:p>
          <w:p>
            <w:pPr>
              <w:jc w:val="left"/>
              <w:rPr>
                <w:rFonts w:ascii="Times New Roman" w:hAnsi="Times New Roman"/>
                <w:color w:val="auto"/>
                <w:sz w:val="24"/>
                <w:highlight w:val="none"/>
                <w:lang w:val="zh-CN"/>
              </w:rPr>
            </w:pPr>
            <w:r>
              <w:rPr>
                <w:rFonts w:ascii="Times New Roman" w:hAnsi="Times New Roman"/>
                <w:color w:val="auto"/>
                <w:sz w:val="24"/>
                <w:highlight w:val="none"/>
                <w:lang w:val="zh-CN"/>
              </w:rPr>
              <w:t>联系电话：</w:t>
            </w:r>
            <w:r>
              <w:rPr>
                <w:rFonts w:ascii="Times New Roman" w:hAnsi="Times New Roman"/>
                <w:color w:val="auto"/>
                <w:sz w:val="24"/>
                <w:highlight w:val="none"/>
              </w:rPr>
              <w:t>0816-2489230</w:t>
            </w:r>
            <w:r>
              <w:rPr>
                <w:rFonts w:ascii="Times New Roman" w:hAnsi="Times New Roman"/>
                <w:color w:val="auto"/>
                <w:sz w:val="24"/>
                <w:highlight w:val="none"/>
                <w:lang w:val="zh-CN"/>
              </w:rPr>
              <w:t>。</w:t>
            </w:r>
          </w:p>
          <w:p>
            <w:pPr>
              <w:jc w:val="left"/>
              <w:rPr>
                <w:rFonts w:ascii="Times New Roman" w:hAnsi="Times New Roman"/>
                <w:color w:val="auto"/>
                <w:sz w:val="24"/>
                <w:highlight w:val="none"/>
                <w:lang w:val="zh-CN"/>
              </w:rPr>
            </w:pPr>
            <w:r>
              <w:rPr>
                <w:rFonts w:ascii="Times New Roman" w:hAnsi="Times New Roman"/>
                <w:color w:val="auto"/>
                <w:sz w:val="24"/>
                <w:highlight w:val="none"/>
                <w:lang w:val="zh-CN"/>
              </w:rPr>
              <w:t>地址：四川省绵阳市绵山路</w:t>
            </w:r>
            <w:r>
              <w:rPr>
                <w:rFonts w:ascii="Times New Roman" w:hAnsi="Times New Roman"/>
                <w:color w:val="auto"/>
                <w:sz w:val="24"/>
                <w:highlight w:val="none"/>
              </w:rPr>
              <w:t>64号</w:t>
            </w:r>
            <w:r>
              <w:rPr>
                <w:rFonts w:hint="eastAsia" w:ascii="Times New Roman" w:hAnsi="Times New Roman"/>
                <w:color w:val="auto"/>
                <w:sz w:val="24"/>
                <w:highlight w:val="none"/>
              </w:rPr>
              <w:t>华庭酒店</w:t>
            </w:r>
            <w:r>
              <w:rPr>
                <w:rFonts w:ascii="Times New Roman" w:hAnsi="Times New Roman"/>
                <w:color w:val="auto"/>
                <w:sz w:val="24"/>
                <w:highlight w:val="none"/>
              </w:rPr>
              <w:t>301号</w:t>
            </w:r>
          </w:p>
          <w:p>
            <w:pPr>
              <w:jc w:val="left"/>
              <w:rPr>
                <w:rFonts w:ascii="Times New Roman" w:hAnsi="Times New Roman"/>
                <w:color w:val="auto"/>
                <w:sz w:val="24"/>
                <w:highlight w:val="none"/>
              </w:rPr>
            </w:pPr>
            <w:r>
              <w:rPr>
                <w:rFonts w:ascii="Times New Roman" w:hAnsi="Times New Roman"/>
                <w:color w:val="auto"/>
                <w:sz w:val="24"/>
                <w:highlight w:val="none"/>
              </w:rPr>
              <w:t>邮编：</w:t>
            </w:r>
            <w:r>
              <w:rPr>
                <w:rFonts w:ascii="Times New Roman" w:hAnsi="Times New Roman"/>
                <w:color w:val="auto"/>
                <w:sz w:val="24"/>
                <w:highlight w:val="none"/>
                <w:lang w:val="zh-CN"/>
              </w:rPr>
              <w:t>6</w:t>
            </w:r>
            <w:r>
              <w:rPr>
                <w:rFonts w:ascii="Times New Roman" w:hAnsi="Times New Roman"/>
                <w:color w:val="auto"/>
                <w:sz w:val="24"/>
                <w:highlight w:val="none"/>
              </w:rPr>
              <w:t>21</w:t>
            </w:r>
            <w:r>
              <w:rPr>
                <w:rFonts w:ascii="Times New Roman" w:hAnsi="Times New Roman"/>
                <w:color w:val="auto"/>
                <w:sz w:val="24"/>
                <w:highlight w:val="none"/>
                <w:lang w:val="zh-CN"/>
              </w:rPr>
              <w:t>000。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12</w:t>
            </w:r>
          </w:p>
        </w:tc>
        <w:tc>
          <w:tcPr>
            <w:tcW w:w="2199" w:type="dxa"/>
            <w:vAlign w:val="center"/>
          </w:tcPr>
          <w:p>
            <w:pPr>
              <w:pStyle w:val="245"/>
              <w:jc w:val="center"/>
              <w:rPr>
                <w:rFonts w:ascii="Times New Roman" w:hAnsi="Times New Roman" w:cs="Times New Roman"/>
                <w:color w:val="auto"/>
                <w:kern w:val="2"/>
                <w:highlight w:val="none"/>
              </w:rPr>
            </w:pPr>
            <w:r>
              <w:rPr>
                <w:rFonts w:ascii="Times New Roman" w:hAnsi="Times New Roman" w:cs="Times New Roman"/>
                <w:color w:val="auto"/>
                <w:kern w:val="2"/>
                <w:highlight w:val="none"/>
              </w:rPr>
              <w:t>供应商质疑</w:t>
            </w:r>
          </w:p>
        </w:tc>
        <w:tc>
          <w:tcPr>
            <w:tcW w:w="7146" w:type="dxa"/>
            <w:vAlign w:val="center"/>
          </w:tcPr>
          <w:p>
            <w:pPr>
              <w:ind w:right="170" w:rightChars="50"/>
              <w:jc w:val="left"/>
              <w:rPr>
                <w:rFonts w:ascii="Times New Roman" w:hAnsi="Times New Roman"/>
                <w:color w:val="auto"/>
                <w:sz w:val="24"/>
                <w:highlight w:val="none"/>
                <w:lang w:val="zh-CN"/>
              </w:rPr>
            </w:pPr>
            <w:bookmarkStart w:id="4" w:name="PO_默认文件内容_30"/>
            <w:r>
              <w:rPr>
                <w:rFonts w:ascii="Times New Roman" w:hAnsi="Times New Roman"/>
                <w:color w:val="auto"/>
                <w:sz w:val="24"/>
                <w:highlight w:val="none"/>
                <w:lang w:val="zh-CN"/>
              </w:rPr>
              <w:t>供应商认为采购文件、采购过程、中标或者成交结果使自己的权益受到损害的，可以在知道或者应知其权益受到损害之日起7个工作日内，以书面形式向采购人、采购代理机构提出质疑。且供应商应当在法定质疑期内一次性提出针对同一采购程序环节的质疑。</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lang w:val="zh-CN"/>
              </w:rPr>
              <w:t>1、受理质疑方式：书面方式</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lang w:val="zh-CN"/>
              </w:rPr>
              <w:t>2、供应商提出质疑应当提交质疑函和必要的证明材料。质疑函应当包括下列内容：</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lang w:val="zh-CN"/>
              </w:rPr>
              <w:t>2.1 供应商的姓名或者名称、地址、邮编、联系人及联系电话；</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lang w:val="zh-CN"/>
              </w:rPr>
              <w:t>2.2 质疑项目的名称、编号；</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lang w:val="zh-CN"/>
              </w:rPr>
              <w:t>2.3 具体、明确的质疑事项和与质疑事项相关的请求；</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lang w:val="zh-CN"/>
              </w:rPr>
              <w:t>2.4 事实依据；</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lang w:val="zh-CN"/>
              </w:rPr>
              <w:t>2.5 必要的法律依据；</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lang w:val="zh-CN"/>
              </w:rPr>
              <w:t>2.6 提出质疑的日期。</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lang w:val="zh-CN"/>
              </w:rPr>
              <w:t>供应商为自然人的，质疑函应当由本人签字；供应商为法人或者其他组织的，质疑函应当由法定代表人、主要负责人，或者其授权代表签字或者盖章，并加盖公章。</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lang w:val="zh-CN"/>
              </w:rPr>
              <w:t>供应商委托代理人递交质疑函的，应提供法定代表人授权委托书和代理人身份证复印件。授权委托书应当载明代理人的姓名、授权事项、具体权限、期限和相关事项。供应商为自然人的，授权委托书应当由本人签字；供应商为法人或者其他组织的，授权委托书应当由法定代表人、主要负责人签字或者盖章，并加盖公章。</w:t>
            </w:r>
          </w:p>
          <w:p>
            <w:pPr>
              <w:ind w:right="170" w:rightChars="50"/>
              <w:jc w:val="left"/>
              <w:rPr>
                <w:rFonts w:ascii="Times New Roman" w:hAnsi="Times New Roman"/>
                <w:color w:val="auto"/>
                <w:sz w:val="24"/>
                <w:highlight w:val="none"/>
              </w:rPr>
            </w:pPr>
            <w:r>
              <w:rPr>
                <w:rFonts w:ascii="Times New Roman" w:hAnsi="Times New Roman"/>
                <w:color w:val="auto"/>
                <w:sz w:val="24"/>
                <w:highlight w:val="none"/>
              </w:rPr>
              <w:t>3</w:t>
            </w:r>
            <w:r>
              <w:rPr>
                <w:rFonts w:ascii="Times New Roman" w:hAnsi="Times New Roman"/>
                <w:color w:val="auto"/>
                <w:sz w:val="24"/>
                <w:highlight w:val="none"/>
                <w:lang w:val="zh-CN"/>
              </w:rPr>
              <w:t>、联系人：</w:t>
            </w:r>
            <w:r>
              <w:rPr>
                <w:rFonts w:ascii="Times New Roman" w:hAnsi="Times New Roman"/>
                <w:color w:val="auto"/>
                <w:sz w:val="24"/>
                <w:highlight w:val="none"/>
              </w:rPr>
              <w:t>陈维</w:t>
            </w:r>
            <w:r>
              <w:rPr>
                <w:rFonts w:hint="eastAsia" w:ascii="Times New Roman" w:hAnsi="Times New Roman"/>
                <w:color w:val="auto"/>
                <w:sz w:val="24"/>
                <w:highlight w:val="none"/>
              </w:rPr>
              <w:t>、</w:t>
            </w:r>
            <w:r>
              <w:rPr>
                <w:rFonts w:ascii="Times New Roman" w:hAnsi="Times New Roman"/>
                <w:color w:val="auto"/>
                <w:sz w:val="24"/>
                <w:highlight w:val="none"/>
              </w:rPr>
              <w:t>蒋佳岑</w:t>
            </w:r>
          </w:p>
          <w:p>
            <w:pPr>
              <w:ind w:right="170" w:rightChars="50"/>
              <w:jc w:val="left"/>
              <w:rPr>
                <w:rFonts w:ascii="Times New Roman" w:hAnsi="Times New Roman"/>
                <w:color w:val="auto"/>
                <w:sz w:val="24"/>
                <w:highlight w:val="none"/>
              </w:rPr>
            </w:pPr>
            <w:r>
              <w:rPr>
                <w:rFonts w:ascii="Times New Roman" w:hAnsi="Times New Roman"/>
                <w:color w:val="auto"/>
                <w:sz w:val="24"/>
                <w:highlight w:val="none"/>
              </w:rPr>
              <w:t>4</w:t>
            </w:r>
            <w:r>
              <w:rPr>
                <w:rFonts w:ascii="Times New Roman" w:hAnsi="Times New Roman"/>
                <w:color w:val="auto"/>
                <w:sz w:val="24"/>
                <w:highlight w:val="none"/>
                <w:lang w:val="zh-CN"/>
              </w:rPr>
              <w:t>、联系电话：</w:t>
            </w:r>
            <w:r>
              <w:rPr>
                <w:rFonts w:ascii="Times New Roman" w:hAnsi="Times New Roman"/>
                <w:color w:val="auto"/>
                <w:sz w:val="24"/>
                <w:highlight w:val="none"/>
              </w:rPr>
              <w:t>0816-2489230</w:t>
            </w:r>
          </w:p>
          <w:p>
            <w:pPr>
              <w:ind w:right="170" w:rightChars="50"/>
              <w:jc w:val="left"/>
              <w:rPr>
                <w:rFonts w:ascii="Times New Roman" w:hAnsi="Times New Roman"/>
                <w:color w:val="auto"/>
                <w:sz w:val="24"/>
                <w:highlight w:val="none"/>
              </w:rPr>
            </w:pPr>
            <w:r>
              <w:rPr>
                <w:rFonts w:ascii="Times New Roman" w:hAnsi="Times New Roman"/>
                <w:color w:val="auto"/>
                <w:sz w:val="24"/>
                <w:highlight w:val="none"/>
              </w:rPr>
              <w:t>5</w:t>
            </w:r>
            <w:r>
              <w:rPr>
                <w:rFonts w:ascii="Times New Roman" w:hAnsi="Times New Roman"/>
                <w:color w:val="auto"/>
                <w:sz w:val="24"/>
                <w:highlight w:val="none"/>
                <w:lang w:val="zh-CN"/>
              </w:rPr>
              <w:t xml:space="preserve">、邮箱： </w:t>
            </w:r>
            <w:r>
              <w:rPr>
                <w:rFonts w:ascii="Times New Roman" w:hAnsi="Times New Roman"/>
                <w:color w:val="auto"/>
                <w:sz w:val="24"/>
                <w:highlight w:val="none"/>
              </w:rPr>
              <w:t>chenwei46@sinochem.com、jiangjiacen@sinochem.com</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rPr>
              <w:t>6</w:t>
            </w:r>
            <w:r>
              <w:rPr>
                <w:rFonts w:ascii="Times New Roman" w:hAnsi="Times New Roman"/>
                <w:color w:val="auto"/>
                <w:sz w:val="24"/>
                <w:highlight w:val="none"/>
                <w:lang w:val="zh-CN"/>
              </w:rPr>
              <w:t>、地址：</w:t>
            </w:r>
            <w:r>
              <w:rPr>
                <w:rFonts w:ascii="Times New Roman" w:hAnsi="Times New Roman"/>
                <w:color w:val="auto"/>
                <w:sz w:val="24"/>
                <w:szCs w:val="24"/>
                <w:highlight w:val="none"/>
                <w:shd w:val="clear" w:color="auto" w:fill="FFFFFF"/>
              </w:rPr>
              <w:t>四川省绵阳市绵山路64号华庭酒店301</w:t>
            </w:r>
            <w:r>
              <w:rPr>
                <w:rFonts w:ascii="Times New Roman" w:hAnsi="Times New Roman"/>
                <w:color w:val="auto"/>
                <w:sz w:val="24"/>
                <w:highlight w:val="none"/>
                <w:lang w:val="zh-CN"/>
              </w:rPr>
              <w:t xml:space="preserve"> </w:t>
            </w:r>
          </w:p>
          <w:p>
            <w:pPr>
              <w:ind w:right="170" w:rightChars="50"/>
              <w:jc w:val="left"/>
              <w:rPr>
                <w:rFonts w:ascii="Times New Roman" w:hAnsi="Times New Roman"/>
                <w:color w:val="auto"/>
                <w:sz w:val="24"/>
                <w:highlight w:val="none"/>
                <w:lang w:val="zh-CN"/>
              </w:rPr>
            </w:pPr>
            <w:r>
              <w:rPr>
                <w:rFonts w:ascii="Times New Roman" w:hAnsi="Times New Roman"/>
                <w:color w:val="auto"/>
                <w:sz w:val="24"/>
                <w:highlight w:val="none"/>
                <w:lang w:val="zh-CN"/>
              </w:rPr>
              <w:t>注：</w:t>
            </w:r>
            <w:r>
              <w:rPr>
                <w:rFonts w:hint="eastAsia" w:ascii="Times New Roman" w:hAnsi="Times New Roman"/>
                <w:color w:val="auto"/>
                <w:sz w:val="24"/>
                <w:highlight w:val="none"/>
                <w:lang w:val="en-US" w:eastAsia="zh-CN"/>
              </w:rPr>
              <w:t>①</w:t>
            </w:r>
            <w:r>
              <w:rPr>
                <w:rFonts w:ascii="Times New Roman" w:hAnsi="Times New Roman"/>
                <w:color w:val="auto"/>
                <w:sz w:val="24"/>
                <w:highlight w:val="none"/>
                <w:lang w:val="zh-CN"/>
              </w:rPr>
              <w:t>根据《中华人民共和国政府采购法》的规定，供应商质疑不得超出采购文件、采购过程、采购结果的范围。</w:t>
            </w:r>
            <w:bookmarkEnd w:id="4"/>
          </w:p>
          <w:p>
            <w:pPr>
              <w:rPr>
                <w:rFonts w:ascii="Times New Roman" w:hAnsi="Times New Roman"/>
                <w:color w:val="auto"/>
                <w:highlight w:val="none"/>
              </w:rPr>
            </w:pPr>
            <w:r>
              <w:rPr>
                <w:rFonts w:hint="eastAsia" w:ascii="Times New Roman" w:hAnsi="Times New Roman"/>
                <w:b/>
                <w:bCs/>
                <w:color w:val="auto"/>
                <w:sz w:val="24"/>
                <w:szCs w:val="22"/>
                <w:highlight w:val="none"/>
                <w:lang w:val="en-US" w:eastAsia="zh-CN"/>
              </w:rPr>
              <w:t>②</w:t>
            </w:r>
            <w:r>
              <w:rPr>
                <w:rFonts w:ascii="Times New Roman" w:hAnsi="Times New Roman"/>
                <w:b/>
                <w:bCs/>
                <w:color w:val="auto"/>
                <w:sz w:val="24"/>
                <w:szCs w:val="22"/>
                <w:highlight w:val="none"/>
              </w:rPr>
              <w:t>供应商在法定质疑期内针对同一采购程序环节的质疑必须一次性提出，采购人、采购代理机构将不接受针对同一采购程序环节的多次质疑</w:t>
            </w:r>
            <w:r>
              <w:rPr>
                <w:rFonts w:ascii="Times New Roman" w:hAnsi="Times New Roman"/>
                <w:b/>
                <w:bCs/>
                <w:color w:val="auto"/>
                <w:sz w:val="24"/>
                <w:szCs w:val="24"/>
                <w:highlight w:val="none"/>
                <w:shd w:val="clear" w:color="auto" w:fill="FFFFFF"/>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jc w:val="center"/>
              <w:rPr>
                <w:rFonts w:ascii="Times New Roman" w:hAnsi="Times New Roman"/>
                <w:color w:val="auto"/>
                <w:sz w:val="24"/>
                <w:highlight w:val="none"/>
              </w:rPr>
            </w:pPr>
            <w:r>
              <w:rPr>
                <w:rFonts w:ascii="Times New Roman" w:hAnsi="Times New Roman"/>
                <w:color w:val="auto"/>
                <w:sz w:val="24"/>
                <w:highlight w:val="none"/>
              </w:rPr>
              <w:t>13</w:t>
            </w:r>
          </w:p>
        </w:tc>
        <w:tc>
          <w:tcPr>
            <w:tcW w:w="2199" w:type="dxa"/>
            <w:tcBorders>
              <w:right w:val="single" w:color="auto" w:sz="4" w:space="0"/>
            </w:tcBorders>
            <w:vAlign w:val="center"/>
          </w:tcPr>
          <w:p>
            <w:pPr>
              <w:ind w:firstLine="120" w:firstLineChars="50"/>
              <w:jc w:val="center"/>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供应商投诉</w:t>
            </w:r>
          </w:p>
        </w:tc>
        <w:tc>
          <w:tcPr>
            <w:tcW w:w="7146" w:type="dxa"/>
            <w:tcBorders>
              <w:left w:val="single" w:color="auto" w:sz="4" w:space="0"/>
            </w:tcBorders>
            <w:vAlign w:val="center"/>
          </w:tcPr>
          <w:p>
            <w:pPr>
              <w:widowControl/>
              <w:spacing w:after="0" w:line="240" w:lineRule="auto"/>
              <w:jc w:val="left"/>
              <w:rPr>
                <w:rFonts w:hint="default" w:ascii="Times New Roman" w:hAnsi="Times New Roman" w:cs="Times New Roman"/>
                <w:sz w:val="24"/>
                <w:highlight w:val="none"/>
                <w:lang w:val="zh-CN"/>
              </w:rPr>
            </w:pPr>
            <w:r>
              <w:rPr>
                <w:rFonts w:hint="default" w:ascii="Times New Roman" w:hAnsi="Times New Roman" w:cs="Times New Roman"/>
                <w:sz w:val="24"/>
                <w:highlight w:val="none"/>
                <w:lang w:val="zh-CN"/>
              </w:rPr>
              <w:t xml:space="preserve">投诉受理单位：中华人民共和国财政部 </w:t>
            </w:r>
          </w:p>
          <w:p>
            <w:pPr>
              <w:widowControl/>
              <w:spacing w:after="0" w:line="240" w:lineRule="auto"/>
              <w:jc w:val="left"/>
              <w:rPr>
                <w:rFonts w:hint="default" w:ascii="Times New Roman" w:hAnsi="Times New Roman" w:cs="Times New Roman"/>
                <w:sz w:val="24"/>
                <w:highlight w:val="none"/>
                <w:lang w:val="zh-CN"/>
              </w:rPr>
            </w:pPr>
            <w:r>
              <w:rPr>
                <w:rFonts w:hint="default" w:ascii="Times New Roman" w:hAnsi="Times New Roman" w:cs="Times New Roman"/>
                <w:sz w:val="24"/>
                <w:highlight w:val="none"/>
                <w:lang w:val="zh-CN"/>
              </w:rPr>
              <w:t xml:space="preserve">联系电话：010-68513070、010-68519967 </w:t>
            </w:r>
          </w:p>
          <w:p>
            <w:pPr>
              <w:widowControl/>
              <w:spacing w:after="0" w:line="240" w:lineRule="auto"/>
              <w:jc w:val="left"/>
              <w:rPr>
                <w:rFonts w:hint="default" w:ascii="Times New Roman" w:hAnsi="Times New Roman" w:cs="Times New Roman"/>
                <w:highlight w:val="none"/>
                <w:lang w:val="zh-CN"/>
              </w:rPr>
            </w:pPr>
            <w:r>
              <w:rPr>
                <w:rFonts w:hint="default" w:ascii="Times New Roman" w:hAnsi="Times New Roman" w:cs="Times New Roman"/>
                <w:sz w:val="24"/>
                <w:highlight w:val="none"/>
                <w:lang w:val="zh-CN"/>
              </w:rPr>
              <w:t xml:space="preserve">地址：西城区月坛北小街13号中船宾馆北楼四层8401室、8403室。 </w:t>
            </w:r>
          </w:p>
          <w:p>
            <w:pPr>
              <w:pStyle w:val="2"/>
              <w:rPr>
                <w:rFonts w:hint="default" w:ascii="Times New Roman" w:hAnsi="Times New Roman" w:cs="Times New Roman"/>
                <w:color w:val="auto"/>
                <w:sz w:val="24"/>
                <w:highlight w:val="none"/>
              </w:rPr>
            </w:pPr>
            <w:r>
              <w:rPr>
                <w:rFonts w:hint="default" w:ascii="Times New Roman" w:hAnsi="Times New Roman" w:cs="Times New Roman"/>
                <w:sz w:val="24"/>
                <w:highlight w:val="none"/>
                <w:lang w:val="zh-CN"/>
              </w:rPr>
              <w:t>注：根据《中华人民共和国政府采购法实施条例》等规定，供应商投诉事项不得超出已质疑事项的范围。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jc w:val="center"/>
              <w:rPr>
                <w:rFonts w:ascii="Times New Roman" w:hAnsi="Times New Roman"/>
                <w:color w:val="auto"/>
                <w:sz w:val="24"/>
                <w:highlight w:val="none"/>
              </w:rPr>
            </w:pPr>
            <w:r>
              <w:rPr>
                <w:rFonts w:ascii="Times New Roman" w:hAnsi="Times New Roman"/>
                <w:color w:val="auto"/>
                <w:sz w:val="24"/>
                <w:highlight w:val="none"/>
              </w:rPr>
              <w:t>14</w:t>
            </w:r>
          </w:p>
        </w:tc>
        <w:tc>
          <w:tcPr>
            <w:tcW w:w="2199" w:type="dxa"/>
            <w:tcBorders>
              <w:right w:val="single" w:color="auto" w:sz="4" w:space="0"/>
            </w:tcBorders>
            <w:vAlign w:val="center"/>
          </w:tcPr>
          <w:p>
            <w:pPr>
              <w:ind w:firstLine="120" w:firstLineChars="50"/>
              <w:jc w:val="center"/>
              <w:rPr>
                <w:rFonts w:ascii="Times New Roman" w:hAnsi="Times New Roman"/>
                <w:color w:val="auto"/>
                <w:sz w:val="24"/>
                <w:highlight w:val="none"/>
                <w:lang w:val="zh-CN"/>
              </w:rPr>
            </w:pPr>
            <w:r>
              <w:rPr>
                <w:rFonts w:ascii="Segoe UI Symbol" w:hAnsi="Segoe UI Symbol" w:cs="Segoe UI Symbol"/>
                <w:color w:val="auto"/>
                <w:sz w:val="24"/>
                <w:szCs w:val="24"/>
                <w:highlight w:val="none"/>
              </w:rPr>
              <w:t>★</w:t>
            </w:r>
            <w:r>
              <w:rPr>
                <w:rFonts w:ascii="Times New Roman" w:hAnsi="Times New Roman"/>
                <w:color w:val="auto"/>
                <w:sz w:val="24"/>
                <w:highlight w:val="none"/>
                <w:lang w:val="zh-CN"/>
              </w:rPr>
              <w:t>备选方案和多个报价</w:t>
            </w:r>
          </w:p>
        </w:tc>
        <w:tc>
          <w:tcPr>
            <w:tcW w:w="7146" w:type="dxa"/>
            <w:tcBorders>
              <w:left w:val="single" w:color="auto" w:sz="4" w:space="0"/>
            </w:tcBorders>
            <w:vAlign w:val="center"/>
          </w:tcPr>
          <w:p>
            <w:pPr>
              <w:jc w:val="left"/>
              <w:rPr>
                <w:rFonts w:ascii="Times New Roman" w:hAnsi="Times New Roman"/>
                <w:color w:val="auto"/>
                <w:sz w:val="24"/>
                <w:highlight w:val="none"/>
                <w:lang w:val="zh-CN"/>
              </w:rPr>
            </w:pPr>
            <w:r>
              <w:rPr>
                <w:rFonts w:ascii="Times New Roman" w:hAnsi="Times New Roman"/>
                <w:color w:val="auto"/>
                <w:sz w:val="24"/>
                <w:highlight w:val="none"/>
              </w:rPr>
              <w:t>本项目</w:t>
            </w:r>
            <w:r>
              <w:rPr>
                <w:rFonts w:ascii="Times New Roman" w:hAnsi="Times New Roman"/>
                <w:color w:val="auto"/>
                <w:sz w:val="24"/>
                <w:highlight w:val="none"/>
                <w:lang w:val="zh-CN"/>
              </w:rPr>
              <w:t>不接受备选方案和多个报价，否则响应文件作无效处理。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jc w:val="center"/>
              <w:rPr>
                <w:rFonts w:ascii="Times New Roman" w:hAnsi="Times New Roman"/>
                <w:color w:val="auto"/>
                <w:sz w:val="24"/>
                <w:highlight w:val="none"/>
              </w:rPr>
            </w:pPr>
            <w:r>
              <w:rPr>
                <w:rFonts w:ascii="Times New Roman" w:hAnsi="Times New Roman"/>
                <w:color w:val="auto"/>
                <w:sz w:val="24"/>
                <w:highlight w:val="none"/>
              </w:rPr>
              <w:t>15</w:t>
            </w:r>
          </w:p>
        </w:tc>
        <w:tc>
          <w:tcPr>
            <w:tcW w:w="2199" w:type="dxa"/>
            <w:tcBorders>
              <w:right w:val="single" w:color="auto" w:sz="4" w:space="0"/>
            </w:tcBorders>
            <w:vAlign w:val="center"/>
          </w:tcPr>
          <w:p>
            <w:pPr>
              <w:ind w:firstLine="120" w:firstLineChars="50"/>
              <w:jc w:val="center"/>
              <w:rPr>
                <w:rFonts w:ascii="Times New Roman" w:hAnsi="Times New Roman"/>
                <w:color w:val="auto"/>
                <w:sz w:val="24"/>
                <w:szCs w:val="22"/>
                <w:highlight w:val="none"/>
              </w:rPr>
            </w:pPr>
            <w:r>
              <w:rPr>
                <w:rFonts w:ascii="Times New Roman" w:hAnsi="Times New Roman"/>
                <w:color w:val="auto"/>
                <w:sz w:val="24"/>
                <w:szCs w:val="22"/>
                <w:highlight w:val="none"/>
              </w:rPr>
              <w:t>代理服务费</w:t>
            </w:r>
          </w:p>
        </w:tc>
        <w:tc>
          <w:tcPr>
            <w:tcW w:w="7146" w:type="dxa"/>
            <w:tcBorders>
              <w:left w:val="single" w:color="auto" w:sz="4" w:space="0"/>
            </w:tcBorders>
            <w:vAlign w:val="center"/>
          </w:tcPr>
          <w:p>
            <w:pPr>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由成交供应商支付。以</w:t>
            </w:r>
            <w:r>
              <w:rPr>
                <w:rFonts w:hint="eastAsia" w:ascii="Times New Roman" w:hAnsi="Times New Roman"/>
                <w:color w:val="auto"/>
                <w:sz w:val="24"/>
                <w:szCs w:val="24"/>
                <w:highlight w:val="none"/>
                <w:lang w:val="en-US" w:eastAsia="zh-CN"/>
              </w:rPr>
              <w:t>预算金额</w:t>
            </w:r>
            <w:r>
              <w:rPr>
                <w:rFonts w:ascii="Times New Roman" w:hAnsi="Times New Roman"/>
                <w:color w:val="auto"/>
                <w:sz w:val="24"/>
                <w:szCs w:val="24"/>
                <w:highlight w:val="none"/>
                <w:lang w:val="zh-CN"/>
              </w:rPr>
              <w:t>作为基准，参照《招标代理服务收费管理暂行办法》（计价格[2002]1980号）向成交供应商收取代理服务费，成交供应商应及时向采购代理机构缴纳。</w:t>
            </w:r>
          </w:p>
          <w:p>
            <w:pPr>
              <w:pStyle w:val="245"/>
              <w:rPr>
                <w:rFonts w:ascii="Times New Roman" w:hAnsi="Times New Roman" w:cs="Times New Roman"/>
                <w:color w:val="auto"/>
                <w:highlight w:val="none"/>
                <w:lang w:val="zh-CN"/>
              </w:rPr>
            </w:pPr>
            <w:r>
              <w:rPr>
                <w:rFonts w:ascii="Times New Roman" w:hAnsi="Times New Roman" w:cs="Times New Roman"/>
                <w:color w:val="auto"/>
                <w:highlight w:val="none"/>
                <w:lang w:val="zh-CN"/>
              </w:rPr>
              <w:t>注:采购代理服务收费按差额定率累进法计算。</w:t>
            </w:r>
          </w:p>
          <w:p>
            <w:pPr>
              <w:pStyle w:val="131"/>
              <w:ind w:firstLineChars="0"/>
              <w:rPr>
                <w:rFonts w:ascii="Times New Roman" w:hAnsi="Times New Roman"/>
                <w:color w:val="auto"/>
                <w:sz w:val="24"/>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68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rPr>
                      <w:rFonts w:ascii="Times New Roman" w:hAnsi="Times New Roman"/>
                      <w:color w:val="auto"/>
                      <w:sz w:val="24"/>
                      <w:highlight w:val="none"/>
                    </w:rPr>
                  </w:pPr>
                  <w:r>
                    <w:rPr>
                      <w:rFonts w:ascii="Times New Roman" w:hAnsi="Times New Roman"/>
                      <w:color w:val="auto"/>
                      <w:sz w:val="24"/>
                      <w:highlight w:val="none"/>
                    </w:rPr>
                    <w:t>序号</w:t>
                  </w:r>
                </w:p>
              </w:tc>
              <w:tc>
                <w:tcPr>
                  <w:tcW w:w="1681" w:type="dxa"/>
                  <w:vAlign w:val="center"/>
                </w:tcPr>
                <w:p>
                  <w:pPr>
                    <w:rPr>
                      <w:rFonts w:ascii="Times New Roman" w:hAnsi="Times New Roman"/>
                      <w:color w:val="auto"/>
                      <w:sz w:val="24"/>
                      <w:highlight w:val="none"/>
                    </w:rPr>
                  </w:pPr>
                  <w:r>
                    <w:rPr>
                      <w:rFonts w:ascii="Times New Roman" w:hAnsi="Times New Roman"/>
                      <w:color w:val="auto"/>
                      <w:sz w:val="24"/>
                      <w:highlight w:val="none"/>
                    </w:rPr>
                    <w:t>包成交金额（万元）</w:t>
                  </w:r>
                </w:p>
              </w:tc>
              <w:tc>
                <w:tcPr>
                  <w:tcW w:w="1802" w:type="dxa"/>
                  <w:vAlign w:val="center"/>
                </w:tcPr>
                <w:p>
                  <w:pPr>
                    <w:rPr>
                      <w:rFonts w:ascii="Times New Roman" w:hAnsi="Times New Roman"/>
                      <w:color w:val="auto"/>
                      <w:sz w:val="24"/>
                      <w:highlight w:val="none"/>
                    </w:rPr>
                  </w:pPr>
                  <w:r>
                    <w:rPr>
                      <w:rFonts w:ascii="Times New Roman" w:hAnsi="Times New Roman"/>
                      <w:color w:val="auto"/>
                      <w:sz w:val="24"/>
                      <w:highlight w:val="none"/>
                    </w:rPr>
                    <w:t>取费标准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rPr>
                      <w:rFonts w:ascii="Times New Roman" w:hAnsi="Times New Roman"/>
                      <w:color w:val="auto"/>
                      <w:sz w:val="24"/>
                      <w:highlight w:val="none"/>
                    </w:rPr>
                  </w:pPr>
                  <w:r>
                    <w:rPr>
                      <w:rFonts w:ascii="Times New Roman" w:hAnsi="Times New Roman"/>
                      <w:color w:val="auto"/>
                      <w:sz w:val="24"/>
                      <w:highlight w:val="none"/>
                    </w:rPr>
                    <w:t>1</w:t>
                  </w:r>
                </w:p>
              </w:tc>
              <w:tc>
                <w:tcPr>
                  <w:tcW w:w="1681" w:type="dxa"/>
                  <w:vAlign w:val="center"/>
                </w:tcPr>
                <w:p>
                  <w:pPr>
                    <w:rPr>
                      <w:rFonts w:ascii="Times New Roman" w:hAnsi="Times New Roman"/>
                      <w:color w:val="auto"/>
                      <w:sz w:val="24"/>
                      <w:highlight w:val="none"/>
                    </w:rPr>
                  </w:pPr>
                  <w:r>
                    <w:rPr>
                      <w:rFonts w:ascii="Times New Roman" w:hAnsi="Times New Roman"/>
                      <w:color w:val="auto"/>
                      <w:sz w:val="24"/>
                      <w:highlight w:val="none"/>
                    </w:rPr>
                    <w:t>100以下</w:t>
                  </w:r>
                </w:p>
              </w:tc>
              <w:tc>
                <w:tcPr>
                  <w:tcW w:w="1802" w:type="dxa"/>
                  <w:vAlign w:val="center"/>
                </w:tcPr>
                <w:p>
                  <w:pPr>
                    <w:rPr>
                      <w:rFonts w:ascii="Times New Roman" w:hAnsi="Times New Roman"/>
                      <w:color w:val="auto"/>
                      <w:sz w:val="24"/>
                      <w:highlight w:val="none"/>
                    </w:rPr>
                  </w:pPr>
                  <w:r>
                    <w:rPr>
                      <w:rFonts w:ascii="Times New Roman" w:hAnsi="Times New Roman"/>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rPr>
                      <w:rFonts w:ascii="Times New Roman" w:hAnsi="Times New Roman"/>
                      <w:color w:val="auto"/>
                      <w:sz w:val="24"/>
                      <w:highlight w:val="none"/>
                    </w:rPr>
                  </w:pPr>
                  <w:r>
                    <w:rPr>
                      <w:rFonts w:ascii="Times New Roman" w:hAnsi="Times New Roman"/>
                      <w:color w:val="auto"/>
                      <w:sz w:val="24"/>
                      <w:highlight w:val="none"/>
                    </w:rPr>
                    <w:t>2</w:t>
                  </w:r>
                </w:p>
              </w:tc>
              <w:tc>
                <w:tcPr>
                  <w:tcW w:w="1681" w:type="dxa"/>
                  <w:vAlign w:val="center"/>
                </w:tcPr>
                <w:p>
                  <w:pPr>
                    <w:rPr>
                      <w:rFonts w:ascii="Times New Roman" w:hAnsi="Times New Roman"/>
                      <w:color w:val="auto"/>
                      <w:sz w:val="24"/>
                      <w:highlight w:val="none"/>
                    </w:rPr>
                  </w:pPr>
                  <w:r>
                    <w:rPr>
                      <w:rFonts w:ascii="Times New Roman" w:hAnsi="Times New Roman"/>
                      <w:color w:val="auto"/>
                      <w:sz w:val="24"/>
                      <w:highlight w:val="none"/>
                    </w:rPr>
                    <w:t>100～500</w:t>
                  </w:r>
                </w:p>
              </w:tc>
              <w:tc>
                <w:tcPr>
                  <w:tcW w:w="1802" w:type="dxa"/>
                  <w:vAlign w:val="center"/>
                </w:tcPr>
                <w:p>
                  <w:pPr>
                    <w:rPr>
                      <w:rFonts w:ascii="Times New Roman" w:hAnsi="Times New Roman"/>
                      <w:color w:val="auto"/>
                      <w:sz w:val="24"/>
                      <w:highlight w:val="none"/>
                    </w:rPr>
                  </w:pPr>
                  <w:r>
                    <w:rPr>
                      <w:rFonts w:ascii="Times New Roman" w:hAnsi="Times New Roman"/>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dxa"/>
                  <w:vAlign w:val="center"/>
                </w:tcPr>
                <w:p>
                  <w:pPr>
                    <w:rPr>
                      <w:rFonts w:ascii="Times New Roman" w:hAnsi="Times New Roman"/>
                      <w:color w:val="auto"/>
                      <w:sz w:val="24"/>
                      <w:highlight w:val="none"/>
                    </w:rPr>
                  </w:pPr>
                  <w:r>
                    <w:rPr>
                      <w:rFonts w:ascii="Times New Roman" w:hAnsi="Times New Roman"/>
                      <w:color w:val="auto"/>
                      <w:sz w:val="24"/>
                      <w:highlight w:val="none"/>
                    </w:rPr>
                    <w:t>3</w:t>
                  </w:r>
                </w:p>
              </w:tc>
              <w:tc>
                <w:tcPr>
                  <w:tcW w:w="1681" w:type="dxa"/>
                  <w:vAlign w:val="center"/>
                </w:tcPr>
                <w:p>
                  <w:pPr>
                    <w:rPr>
                      <w:rFonts w:ascii="Times New Roman" w:hAnsi="Times New Roman"/>
                      <w:color w:val="auto"/>
                      <w:sz w:val="24"/>
                      <w:highlight w:val="none"/>
                    </w:rPr>
                  </w:pPr>
                  <w:r>
                    <w:rPr>
                      <w:rFonts w:ascii="Times New Roman" w:hAnsi="Times New Roman"/>
                      <w:color w:val="auto"/>
                      <w:sz w:val="24"/>
                      <w:highlight w:val="none"/>
                    </w:rPr>
                    <w:t>500～1000</w:t>
                  </w:r>
                </w:p>
              </w:tc>
              <w:tc>
                <w:tcPr>
                  <w:tcW w:w="1802" w:type="dxa"/>
                  <w:vAlign w:val="center"/>
                </w:tcPr>
                <w:p>
                  <w:pPr>
                    <w:rPr>
                      <w:rFonts w:ascii="Times New Roman" w:hAnsi="Times New Roman"/>
                      <w:color w:val="auto"/>
                      <w:sz w:val="24"/>
                      <w:highlight w:val="none"/>
                    </w:rPr>
                  </w:pPr>
                  <w:r>
                    <w:rPr>
                      <w:rFonts w:ascii="Times New Roman" w:hAnsi="Times New Roman"/>
                      <w:color w:val="auto"/>
                      <w:sz w:val="24"/>
                      <w:highlight w:val="none"/>
                    </w:rPr>
                    <w:t>0.</w:t>
                  </w:r>
                  <w:r>
                    <w:rPr>
                      <w:rFonts w:hint="eastAsia" w:ascii="Times New Roman" w:hAnsi="Times New Roman"/>
                      <w:color w:val="auto"/>
                      <w:sz w:val="24"/>
                      <w:highlight w:val="none"/>
                      <w:lang w:val="en-US" w:eastAsia="zh-CN"/>
                    </w:rPr>
                    <w:t>45</w:t>
                  </w:r>
                  <w:r>
                    <w:rPr>
                      <w:rFonts w:ascii="Times New Roman" w:hAnsi="Times New Roman"/>
                      <w:color w:val="auto"/>
                      <w:sz w:val="24"/>
                      <w:highlight w:val="none"/>
                    </w:rPr>
                    <w:t>％</w:t>
                  </w:r>
                </w:p>
              </w:tc>
            </w:tr>
          </w:tbl>
          <w:p>
            <w:pPr>
              <w:rPr>
                <w:rFonts w:ascii="Times New Roman" w:hAnsi="Times New Roman"/>
                <w:color w:val="auto"/>
                <w:sz w:val="24"/>
                <w:highlight w:val="none"/>
              </w:rPr>
            </w:pPr>
            <w:r>
              <w:rPr>
                <w:rFonts w:ascii="Times New Roman" w:hAnsi="Times New Roman"/>
                <w:color w:val="auto"/>
                <w:sz w:val="24"/>
                <w:highlight w:val="none"/>
              </w:rPr>
              <w:t>采购服务费金额：按照包成交金额，以表中比例进行差额定率累进法计算。</w:t>
            </w:r>
          </w:p>
          <w:p>
            <w:pPr>
              <w:rPr>
                <w:rFonts w:ascii="Times New Roman" w:hAnsi="Times New Roman"/>
                <w:color w:val="auto"/>
                <w:sz w:val="24"/>
                <w:highlight w:val="none"/>
              </w:rPr>
            </w:pPr>
            <w:r>
              <w:rPr>
                <w:rFonts w:ascii="Times New Roman" w:hAnsi="Times New Roman"/>
                <w:color w:val="auto"/>
                <w:sz w:val="24"/>
                <w:highlight w:val="none"/>
              </w:rPr>
              <w:t>例如：某</w:t>
            </w:r>
            <w:r>
              <w:rPr>
                <w:rFonts w:hint="eastAsia" w:ascii="Times New Roman" w:hAnsi="Times New Roman"/>
                <w:color w:val="auto"/>
                <w:sz w:val="24"/>
                <w:highlight w:val="none"/>
                <w:lang w:val="en-US" w:eastAsia="zh-CN"/>
              </w:rPr>
              <w:t>服务</w:t>
            </w:r>
            <w:r>
              <w:rPr>
                <w:rFonts w:ascii="Times New Roman" w:hAnsi="Times New Roman"/>
                <w:color w:val="auto"/>
                <w:sz w:val="24"/>
                <w:highlight w:val="none"/>
              </w:rPr>
              <w:t>采购代理业务成交金额为600万元，计算采购代理服务收费额如下：</w:t>
            </w:r>
          </w:p>
          <w:p>
            <w:pPr>
              <w:rPr>
                <w:rFonts w:ascii="Times New Roman" w:hAnsi="Times New Roman"/>
                <w:color w:val="auto"/>
                <w:sz w:val="24"/>
                <w:highlight w:val="none"/>
              </w:rPr>
            </w:pPr>
            <w:r>
              <w:rPr>
                <w:rFonts w:ascii="Times New Roman" w:hAnsi="Times New Roman"/>
                <w:color w:val="auto"/>
                <w:sz w:val="24"/>
                <w:highlight w:val="none"/>
              </w:rPr>
              <w:t>100万元×1.5%=1.5万元</w:t>
            </w:r>
          </w:p>
          <w:p>
            <w:pPr>
              <w:rPr>
                <w:rFonts w:ascii="Times New Roman" w:hAnsi="Times New Roman"/>
                <w:color w:val="auto"/>
                <w:sz w:val="24"/>
                <w:highlight w:val="none"/>
              </w:rPr>
            </w:pPr>
            <w:r>
              <w:rPr>
                <w:rFonts w:ascii="Times New Roman" w:hAnsi="Times New Roman"/>
                <w:color w:val="auto"/>
                <w:sz w:val="24"/>
                <w:highlight w:val="none"/>
              </w:rPr>
              <w:t>（500-100）万元×0.8％=</w:t>
            </w:r>
            <w:r>
              <w:rPr>
                <w:rFonts w:hint="eastAsia" w:ascii="Times New Roman" w:hAnsi="Times New Roman"/>
                <w:color w:val="auto"/>
                <w:sz w:val="24"/>
                <w:highlight w:val="none"/>
                <w:lang w:val="en-US" w:eastAsia="zh-CN"/>
              </w:rPr>
              <w:t>3</w:t>
            </w:r>
            <w:r>
              <w:rPr>
                <w:rFonts w:ascii="Times New Roman" w:hAnsi="Times New Roman"/>
                <w:color w:val="auto"/>
                <w:sz w:val="24"/>
                <w:highlight w:val="none"/>
              </w:rPr>
              <w:t>.</w:t>
            </w:r>
            <w:r>
              <w:rPr>
                <w:rFonts w:hint="eastAsia" w:ascii="Times New Roman" w:hAnsi="Times New Roman"/>
                <w:color w:val="auto"/>
                <w:sz w:val="24"/>
                <w:highlight w:val="none"/>
                <w:lang w:val="en-US" w:eastAsia="zh-CN"/>
              </w:rPr>
              <w:t>2</w:t>
            </w:r>
            <w:r>
              <w:rPr>
                <w:rFonts w:ascii="Times New Roman" w:hAnsi="Times New Roman"/>
                <w:color w:val="auto"/>
                <w:sz w:val="24"/>
                <w:highlight w:val="none"/>
              </w:rPr>
              <w:t>万元</w:t>
            </w:r>
          </w:p>
          <w:p>
            <w:pPr>
              <w:rPr>
                <w:rFonts w:ascii="Times New Roman" w:hAnsi="Times New Roman"/>
                <w:color w:val="auto"/>
                <w:sz w:val="24"/>
                <w:highlight w:val="none"/>
              </w:rPr>
            </w:pPr>
            <w:r>
              <w:rPr>
                <w:rFonts w:ascii="Times New Roman" w:hAnsi="Times New Roman"/>
                <w:color w:val="auto"/>
                <w:sz w:val="24"/>
                <w:highlight w:val="none"/>
              </w:rPr>
              <w:t>（600-500）×0.</w:t>
            </w:r>
            <w:r>
              <w:rPr>
                <w:rFonts w:hint="eastAsia" w:ascii="Times New Roman" w:hAnsi="Times New Roman"/>
                <w:color w:val="auto"/>
                <w:sz w:val="24"/>
                <w:highlight w:val="none"/>
                <w:lang w:val="en-US" w:eastAsia="zh-CN"/>
              </w:rPr>
              <w:t>45</w:t>
            </w:r>
            <w:r>
              <w:rPr>
                <w:rFonts w:ascii="Times New Roman" w:hAnsi="Times New Roman"/>
                <w:color w:val="auto"/>
                <w:sz w:val="24"/>
                <w:highlight w:val="none"/>
              </w:rPr>
              <w:t>％=0.</w:t>
            </w:r>
            <w:r>
              <w:rPr>
                <w:rFonts w:hint="eastAsia" w:ascii="Times New Roman" w:hAnsi="Times New Roman"/>
                <w:color w:val="auto"/>
                <w:sz w:val="24"/>
                <w:highlight w:val="none"/>
                <w:lang w:val="en-US" w:eastAsia="zh-CN"/>
              </w:rPr>
              <w:t>45</w:t>
            </w:r>
            <w:r>
              <w:rPr>
                <w:rFonts w:ascii="Times New Roman" w:hAnsi="Times New Roman"/>
                <w:color w:val="auto"/>
                <w:sz w:val="24"/>
                <w:highlight w:val="none"/>
              </w:rPr>
              <w:t>万元</w:t>
            </w:r>
          </w:p>
          <w:p>
            <w:pPr>
              <w:rPr>
                <w:rFonts w:ascii="Times New Roman" w:hAnsi="Times New Roman"/>
                <w:color w:val="auto"/>
                <w:sz w:val="24"/>
                <w:highlight w:val="none"/>
              </w:rPr>
            </w:pPr>
            <w:r>
              <w:rPr>
                <w:rFonts w:ascii="Times New Roman" w:hAnsi="Times New Roman"/>
                <w:color w:val="auto"/>
                <w:sz w:val="24"/>
                <w:highlight w:val="none"/>
              </w:rPr>
              <w:t>合计收费=1.5+</w:t>
            </w:r>
            <w:r>
              <w:rPr>
                <w:rFonts w:hint="eastAsia" w:ascii="Times New Roman" w:hAnsi="Times New Roman"/>
                <w:color w:val="auto"/>
                <w:sz w:val="24"/>
                <w:highlight w:val="none"/>
                <w:lang w:val="en-US" w:eastAsia="zh-CN"/>
              </w:rPr>
              <w:t>3</w:t>
            </w:r>
            <w:r>
              <w:rPr>
                <w:rFonts w:ascii="Times New Roman" w:hAnsi="Times New Roman"/>
                <w:color w:val="auto"/>
                <w:sz w:val="24"/>
                <w:highlight w:val="none"/>
              </w:rPr>
              <w:t>.</w:t>
            </w:r>
            <w:r>
              <w:rPr>
                <w:rFonts w:hint="eastAsia" w:ascii="Times New Roman" w:hAnsi="Times New Roman"/>
                <w:color w:val="auto"/>
                <w:sz w:val="24"/>
                <w:highlight w:val="none"/>
                <w:lang w:val="en-US" w:eastAsia="zh-CN"/>
              </w:rPr>
              <w:t>2</w:t>
            </w:r>
            <w:r>
              <w:rPr>
                <w:rFonts w:ascii="Times New Roman" w:hAnsi="Times New Roman"/>
                <w:color w:val="auto"/>
                <w:sz w:val="24"/>
                <w:highlight w:val="none"/>
              </w:rPr>
              <w:t>+0.</w:t>
            </w:r>
            <w:r>
              <w:rPr>
                <w:rFonts w:hint="eastAsia" w:ascii="Times New Roman" w:hAnsi="Times New Roman"/>
                <w:color w:val="auto"/>
                <w:sz w:val="24"/>
                <w:highlight w:val="none"/>
                <w:lang w:val="en-US" w:eastAsia="zh-CN"/>
              </w:rPr>
              <w:t>45</w:t>
            </w:r>
            <w:r>
              <w:rPr>
                <w:rFonts w:ascii="Times New Roman" w:hAnsi="Times New Roman"/>
                <w:color w:val="auto"/>
                <w:sz w:val="24"/>
                <w:highlight w:val="none"/>
              </w:rPr>
              <w:t>=</w:t>
            </w:r>
            <w:r>
              <w:rPr>
                <w:rFonts w:hint="eastAsia" w:ascii="Times New Roman" w:hAnsi="Times New Roman"/>
                <w:color w:val="auto"/>
                <w:sz w:val="24"/>
                <w:highlight w:val="none"/>
                <w:lang w:val="en-US" w:eastAsia="zh-CN"/>
              </w:rPr>
              <w:t>5</w:t>
            </w:r>
            <w:r>
              <w:rPr>
                <w:rFonts w:ascii="Times New Roman" w:hAnsi="Times New Roman"/>
                <w:color w:val="auto"/>
                <w:sz w:val="24"/>
                <w:highlight w:val="none"/>
              </w:rPr>
              <w:t>.</w:t>
            </w:r>
            <w:r>
              <w:rPr>
                <w:rFonts w:hint="eastAsia" w:ascii="Times New Roman" w:hAnsi="Times New Roman"/>
                <w:color w:val="auto"/>
                <w:sz w:val="24"/>
                <w:highlight w:val="none"/>
                <w:lang w:val="en-US" w:eastAsia="zh-CN"/>
              </w:rPr>
              <w:t>15</w:t>
            </w:r>
            <w:r>
              <w:rPr>
                <w:rFonts w:ascii="Times New Roman" w:hAnsi="Times New Roman"/>
                <w:color w:val="auto"/>
                <w:sz w:val="24"/>
                <w:highlight w:val="none"/>
              </w:rPr>
              <w:t>万元</w:t>
            </w:r>
          </w:p>
          <w:p>
            <w:pPr>
              <w:ind w:firstLine="120" w:firstLineChars="50"/>
              <w:rPr>
                <w:rFonts w:ascii="Times New Roman" w:hAnsi="Times New Roman"/>
                <w:color w:val="auto"/>
                <w:sz w:val="24"/>
                <w:szCs w:val="22"/>
                <w:highlight w:val="none"/>
              </w:rPr>
            </w:pPr>
            <w:r>
              <w:rPr>
                <w:rFonts w:ascii="Times New Roman" w:hAnsi="Times New Roman"/>
                <w:color w:val="auto"/>
                <w:sz w:val="24"/>
                <w:szCs w:val="24"/>
                <w:highlight w:val="none"/>
                <w:lang w:val="zh-CN"/>
              </w:rPr>
              <w:t>代理服务费支付的受益人为——中化商务有限公司。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jc w:val="center"/>
              <w:rPr>
                <w:rFonts w:ascii="Times New Roman" w:hAnsi="Times New Roman"/>
                <w:color w:val="auto"/>
                <w:sz w:val="24"/>
                <w:highlight w:val="none"/>
              </w:rPr>
            </w:pPr>
            <w:r>
              <w:rPr>
                <w:rFonts w:ascii="Times New Roman" w:hAnsi="Times New Roman"/>
                <w:color w:val="auto"/>
                <w:sz w:val="24"/>
                <w:highlight w:val="none"/>
              </w:rPr>
              <w:t>16</w:t>
            </w:r>
          </w:p>
        </w:tc>
        <w:tc>
          <w:tcPr>
            <w:tcW w:w="2199" w:type="dxa"/>
            <w:tcBorders>
              <w:right w:val="single" w:color="auto" w:sz="4" w:space="0"/>
            </w:tcBorders>
            <w:vAlign w:val="center"/>
          </w:tcPr>
          <w:p>
            <w:pPr>
              <w:ind w:firstLine="120" w:firstLineChars="50"/>
              <w:jc w:val="center"/>
              <w:rPr>
                <w:rFonts w:ascii="Times New Roman" w:hAnsi="Times New Roman"/>
                <w:color w:val="auto"/>
                <w:sz w:val="24"/>
                <w:szCs w:val="24"/>
                <w:highlight w:val="none"/>
                <w:lang w:val="zh-CN"/>
              </w:rPr>
            </w:pPr>
            <w:r>
              <w:rPr>
                <w:rFonts w:ascii="Times New Roman" w:hAnsi="Times New Roman"/>
                <w:color w:val="auto"/>
                <w:sz w:val="24"/>
                <w:szCs w:val="24"/>
                <w:highlight w:val="none"/>
              </w:rPr>
              <w:t>信用记录查询</w:t>
            </w:r>
          </w:p>
        </w:tc>
        <w:tc>
          <w:tcPr>
            <w:tcW w:w="7146" w:type="dxa"/>
            <w:tcBorders>
              <w:left w:val="single" w:color="auto" w:sz="4" w:space="0"/>
            </w:tcBorders>
            <w:vAlign w:val="center"/>
          </w:tcPr>
          <w:p>
            <w:pPr>
              <w:rPr>
                <w:rFonts w:ascii="Times New Roman" w:hAnsi="Times New Roman"/>
                <w:color w:val="auto"/>
                <w:sz w:val="24"/>
                <w:highlight w:val="none"/>
              </w:rPr>
            </w:pPr>
            <w:r>
              <w:rPr>
                <w:rFonts w:ascii="Times New Roman" w:hAnsi="Times New Roman"/>
                <w:color w:val="auto"/>
                <w:sz w:val="24"/>
                <w:highlight w:val="none"/>
              </w:rPr>
              <w:t>1.在递交响应文件截止后至评审前，中化商务有限公司将通过“信用中国（https://www.creditchina.gov.cn/）”、“中国政府采购网（http://www.ccgp.gov.cn/）”等渠道全面查询供应商的信用记录，并将信用信息查询记录和证据通过网页截图的方式进行留存。</w:t>
            </w:r>
          </w:p>
          <w:p>
            <w:pPr>
              <w:rPr>
                <w:rFonts w:ascii="Times New Roman" w:hAnsi="Times New Roman"/>
                <w:color w:val="auto"/>
                <w:sz w:val="24"/>
                <w:highlight w:val="none"/>
              </w:rPr>
            </w:pPr>
            <w:r>
              <w:rPr>
                <w:rFonts w:ascii="Times New Roman" w:hAnsi="Times New Roman"/>
                <w:color w:val="auto"/>
                <w:sz w:val="24"/>
                <w:highlight w:val="none"/>
              </w:rPr>
              <w:t>2.针对查询时已列入失信被执行人、重大税收违法案件当事人名单、政府采购严重违法失信行为记录名单及其他不符合《中华人民共和国政府采购法》第二十二条规定条件的供应商的报价将被拒绝（处罚决定规定的时间和地域范围内）。</w:t>
            </w:r>
          </w:p>
          <w:p>
            <w:pPr>
              <w:rPr>
                <w:rFonts w:ascii="Times New Roman"/>
                <w:color w:val="auto"/>
                <w:highlight w:val="none"/>
              </w:rPr>
            </w:pPr>
            <w:r>
              <w:rPr>
                <w:rFonts w:ascii="Times New Roman" w:hAnsi="Times New Roman"/>
                <w:color w:val="auto"/>
                <w:sz w:val="24"/>
                <w:highlight w:val="none"/>
              </w:rPr>
              <w:t>3.两个以上自然人、法人或者其他组织组成一个联合体，以一个供应商的身份共同参加政府采购活动的，将对所有联合体成员进行信用记录查询，联合体成员存在不良信用记录的，视同联合体存在不良信用记录。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615" w:type="dxa"/>
            <w:vAlign w:val="center"/>
          </w:tcPr>
          <w:p>
            <w:pPr>
              <w:jc w:val="center"/>
              <w:rPr>
                <w:rFonts w:hint="eastAsia" w:ascii="Times New Roman" w:hAnsi="Times New Roman" w:eastAsia="宋体"/>
                <w:color w:val="auto"/>
                <w:sz w:val="24"/>
                <w:highlight w:val="none"/>
                <w:lang w:eastAsia="zh-CN"/>
              </w:rPr>
            </w:pP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7</w:t>
            </w:r>
          </w:p>
        </w:tc>
        <w:tc>
          <w:tcPr>
            <w:tcW w:w="2199" w:type="dxa"/>
            <w:tcBorders>
              <w:right w:val="single" w:color="auto" w:sz="4" w:space="0"/>
            </w:tcBorders>
            <w:vAlign w:val="center"/>
          </w:tcPr>
          <w:p>
            <w:pPr>
              <w:ind w:firstLine="120" w:firstLineChars="50"/>
              <w:jc w:val="center"/>
              <w:rPr>
                <w:rFonts w:ascii="Times New Roman" w:hAnsi="Times New Roman"/>
                <w:bCs/>
                <w:color w:val="auto"/>
                <w:sz w:val="24"/>
                <w:highlight w:val="none"/>
              </w:rPr>
            </w:pPr>
            <w:r>
              <w:rPr>
                <w:rFonts w:ascii="Times New Roman" w:hAnsi="Times New Roman"/>
                <w:bCs/>
                <w:color w:val="auto"/>
                <w:sz w:val="24"/>
                <w:highlight w:val="none"/>
              </w:rPr>
              <w:t>实质性要求和条件</w:t>
            </w:r>
          </w:p>
        </w:tc>
        <w:tc>
          <w:tcPr>
            <w:tcW w:w="7146" w:type="dxa"/>
            <w:tcBorders>
              <w:left w:val="single" w:color="auto" w:sz="4" w:space="0"/>
            </w:tcBorders>
            <w:vAlign w:val="center"/>
          </w:tcPr>
          <w:p>
            <w:pPr>
              <w:rPr>
                <w:rFonts w:ascii="Times New Roman" w:hAnsi="Times New Roman"/>
                <w:color w:val="auto"/>
                <w:sz w:val="24"/>
                <w:szCs w:val="24"/>
                <w:highlight w:val="none"/>
              </w:rPr>
            </w:pPr>
            <w:r>
              <w:rPr>
                <w:rFonts w:ascii="Times New Roman" w:hAnsi="Times New Roman"/>
                <w:color w:val="auto"/>
                <w:sz w:val="24"/>
                <w:highlight w:val="none"/>
              </w:rPr>
              <w:t>竞争性磋商文件中标注“★”号或“实质性要求”的为重要条款（含重要的商务和技术条款），文件对这些重要条款的任何负偏离、不响应都将导致其响应文件作无效处理。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jc w:val="center"/>
              <w:rPr>
                <w:rFonts w:hint="eastAsia" w:ascii="Times New Roman" w:hAnsi="Times New Roman" w:eastAsia="宋体"/>
                <w:color w:val="auto"/>
                <w:sz w:val="24"/>
                <w:highlight w:val="none"/>
                <w:lang w:eastAsia="zh-CN"/>
              </w:rPr>
            </w:pPr>
            <w:r>
              <w:rPr>
                <w:rFonts w:ascii="Times New Roman" w:hAnsi="Times New Roman"/>
                <w:color w:val="auto"/>
                <w:sz w:val="24"/>
                <w:highlight w:val="none"/>
              </w:rPr>
              <w:t>1</w:t>
            </w:r>
            <w:r>
              <w:rPr>
                <w:rFonts w:hint="eastAsia" w:ascii="Times New Roman" w:hAnsi="Times New Roman"/>
                <w:color w:val="auto"/>
                <w:sz w:val="24"/>
                <w:highlight w:val="none"/>
                <w:lang w:val="en-US" w:eastAsia="zh-CN"/>
              </w:rPr>
              <w:t>8</w:t>
            </w:r>
          </w:p>
        </w:tc>
        <w:tc>
          <w:tcPr>
            <w:tcW w:w="2199" w:type="dxa"/>
            <w:tcBorders>
              <w:right w:val="single" w:color="auto" w:sz="4" w:space="0"/>
            </w:tcBorders>
            <w:vAlign w:val="center"/>
          </w:tcPr>
          <w:p>
            <w:pPr>
              <w:spacing w:line="360" w:lineRule="auto"/>
              <w:ind w:firstLine="120" w:firstLineChars="50"/>
              <w:jc w:val="center"/>
              <w:rPr>
                <w:rFonts w:hAnsi="宋体" w:cs="宋体"/>
                <w:bCs/>
                <w:color w:val="auto"/>
                <w:sz w:val="24"/>
                <w:highlight w:val="none"/>
                <w:lang w:val="zh-CN"/>
              </w:rPr>
            </w:pPr>
            <w:r>
              <w:rPr>
                <w:rFonts w:hint="eastAsia" w:hAnsi="宋体" w:cs="宋体"/>
                <w:bCs/>
                <w:color w:val="auto"/>
                <w:sz w:val="24"/>
                <w:highlight w:val="none"/>
                <w:lang w:val="zh-CN"/>
              </w:rPr>
              <w:t>节能环保及无线</w:t>
            </w:r>
          </w:p>
          <w:p>
            <w:pPr>
              <w:spacing w:line="360" w:lineRule="auto"/>
              <w:ind w:firstLine="120" w:firstLineChars="50"/>
              <w:jc w:val="center"/>
              <w:rPr>
                <w:rFonts w:hAnsi="宋体" w:cs="宋体"/>
                <w:bCs/>
                <w:color w:val="auto"/>
                <w:sz w:val="24"/>
                <w:highlight w:val="none"/>
                <w:lang w:val="zh-CN"/>
              </w:rPr>
            </w:pPr>
            <w:r>
              <w:rPr>
                <w:rFonts w:hint="eastAsia" w:hAnsi="宋体" w:cs="宋体"/>
                <w:bCs/>
                <w:color w:val="auto"/>
                <w:sz w:val="24"/>
                <w:highlight w:val="none"/>
                <w:lang w:val="zh-CN"/>
              </w:rPr>
              <w:t>局域网产品政府</w:t>
            </w:r>
          </w:p>
          <w:p>
            <w:pPr>
              <w:spacing w:line="360" w:lineRule="auto"/>
              <w:ind w:firstLine="120" w:firstLineChars="50"/>
              <w:jc w:val="center"/>
              <w:rPr>
                <w:rFonts w:hAnsi="宋体" w:cs="宋体"/>
                <w:bCs/>
                <w:color w:val="auto"/>
                <w:sz w:val="24"/>
                <w:highlight w:val="none"/>
                <w:lang w:val="zh-CN"/>
              </w:rPr>
            </w:pPr>
            <w:r>
              <w:rPr>
                <w:rFonts w:hint="eastAsia" w:hAnsi="宋体" w:cs="宋体"/>
                <w:bCs/>
                <w:color w:val="auto"/>
                <w:sz w:val="24"/>
                <w:highlight w:val="none"/>
                <w:lang w:val="zh-CN"/>
              </w:rPr>
              <w:t>采购政策、扶持不</w:t>
            </w:r>
          </w:p>
          <w:p>
            <w:pPr>
              <w:spacing w:line="360" w:lineRule="auto"/>
              <w:ind w:firstLine="120" w:firstLineChars="50"/>
              <w:jc w:val="center"/>
              <w:rPr>
                <w:rFonts w:hAnsi="宋体" w:cs="宋体"/>
                <w:bCs/>
                <w:color w:val="auto"/>
                <w:sz w:val="24"/>
                <w:highlight w:val="none"/>
                <w:lang w:val="zh-CN"/>
              </w:rPr>
            </w:pPr>
            <w:r>
              <w:rPr>
                <w:rFonts w:hint="eastAsia" w:hAnsi="宋体" w:cs="宋体"/>
                <w:bCs/>
                <w:color w:val="auto"/>
                <w:sz w:val="24"/>
                <w:highlight w:val="none"/>
                <w:lang w:val="zh-CN"/>
              </w:rPr>
              <w:t>发达地区和少数</w:t>
            </w:r>
          </w:p>
          <w:p>
            <w:pPr>
              <w:spacing w:line="360" w:lineRule="auto"/>
              <w:ind w:firstLine="120" w:firstLineChars="50"/>
              <w:jc w:val="center"/>
              <w:rPr>
                <w:rFonts w:ascii="Times New Roman" w:hAnsi="Times New Roman"/>
                <w:b/>
                <w:bCs/>
                <w:color w:val="auto"/>
                <w:szCs w:val="21"/>
                <w:highlight w:val="none"/>
                <w:lang w:val="zh-CN"/>
              </w:rPr>
            </w:pPr>
            <w:r>
              <w:rPr>
                <w:rFonts w:hint="eastAsia" w:hAnsi="宋体" w:cs="宋体"/>
                <w:bCs/>
                <w:color w:val="auto"/>
                <w:sz w:val="24"/>
                <w:highlight w:val="none"/>
                <w:lang w:val="zh-CN"/>
              </w:rPr>
              <w:t>民族地区政策</w:t>
            </w:r>
          </w:p>
        </w:tc>
        <w:tc>
          <w:tcPr>
            <w:tcW w:w="7146" w:type="dxa"/>
            <w:tcBorders>
              <w:left w:val="single" w:color="auto" w:sz="4" w:space="0"/>
            </w:tcBorders>
            <w:vAlign w:val="center"/>
          </w:tcPr>
          <w:p>
            <w:pPr>
              <w:numPr>
                <w:ilvl w:val="0"/>
                <w:numId w:val="0"/>
              </w:numPr>
              <w:autoSpaceDE w:val="0"/>
              <w:autoSpaceDN w:val="0"/>
              <w:adjustRightInd w:val="0"/>
              <w:spacing w:after="160"/>
              <w:rPr>
                <w:rFonts w:hAnsi="宋体" w:cs="宋体"/>
                <w:color w:val="auto"/>
                <w:sz w:val="24"/>
                <w:szCs w:val="24"/>
                <w:highlight w:val="none"/>
              </w:rPr>
            </w:pPr>
            <w:r>
              <w:rPr>
                <w:rFonts w:hint="eastAsia" w:hAnsi="宋体" w:cs="宋体"/>
                <w:color w:val="auto"/>
                <w:sz w:val="24"/>
                <w:szCs w:val="24"/>
                <w:highlight w:val="none"/>
                <w:lang w:val="en-US" w:eastAsia="zh-CN"/>
              </w:rPr>
              <w:t>一、</w:t>
            </w:r>
            <w:r>
              <w:rPr>
                <w:rFonts w:hint="eastAsia" w:hAnsi="宋体" w:cs="宋体"/>
                <w:color w:val="auto"/>
                <w:sz w:val="24"/>
                <w:szCs w:val="24"/>
                <w:highlight w:val="none"/>
                <w:lang w:val="zh-CN"/>
              </w:rPr>
              <w:t>节能环保</w:t>
            </w:r>
            <w:r>
              <w:rPr>
                <w:rFonts w:hint="eastAsia" w:hAnsi="宋体" w:cs="宋体"/>
                <w:color w:val="auto"/>
                <w:sz w:val="24"/>
                <w:szCs w:val="24"/>
                <w:highlight w:val="none"/>
                <w:lang w:val="en-US" w:eastAsia="zh-CN"/>
              </w:rPr>
              <w:t>政府采购政策</w:t>
            </w:r>
            <w:r>
              <w:rPr>
                <w:rFonts w:hint="eastAsia" w:hAnsi="宋体" w:cs="宋体"/>
                <w:color w:val="auto"/>
                <w:sz w:val="24"/>
                <w:szCs w:val="24"/>
                <w:highlight w:val="none"/>
              </w:rPr>
              <w:t>：</w:t>
            </w:r>
          </w:p>
          <w:p>
            <w:pPr>
              <w:numPr>
                <w:ilvl w:val="0"/>
                <w:numId w:val="14"/>
              </w:numPr>
              <w:autoSpaceDE w:val="0"/>
              <w:autoSpaceDN w:val="0"/>
              <w:adjustRightInd w:val="0"/>
              <w:spacing w:after="160"/>
              <w:ind w:firstLine="120"/>
              <w:rPr>
                <w:rFonts w:hAnsi="宋体" w:cs="宋体"/>
                <w:color w:val="auto"/>
                <w:sz w:val="24"/>
                <w:szCs w:val="24"/>
                <w:highlight w:val="none"/>
              </w:rPr>
            </w:pPr>
            <w:r>
              <w:rPr>
                <w:rFonts w:hint="eastAsia" w:hAnsi="宋体" w:cs="宋体"/>
                <w:color w:val="auto"/>
                <w:sz w:val="24"/>
                <w:szCs w:val="24"/>
                <w:highlight w:val="none"/>
              </w:rPr>
              <w:t>采购产品为强制采购节能产品的，供应商响应文件中具有非节能产品的，其响应文件作无效处理</w:t>
            </w:r>
            <w:r>
              <w:rPr>
                <w:rFonts w:hint="eastAsia" w:hAnsi="宋体" w:cs="宋体"/>
                <w:b/>
                <w:bCs/>
                <w:color w:val="auto"/>
                <w:sz w:val="24"/>
                <w:szCs w:val="24"/>
                <w:highlight w:val="none"/>
              </w:rPr>
              <w:t>（实质性要求）</w:t>
            </w:r>
            <w:r>
              <w:rPr>
                <w:rFonts w:hint="eastAsia" w:hAnsi="宋体" w:cs="宋体"/>
                <w:color w:val="auto"/>
                <w:sz w:val="24"/>
                <w:szCs w:val="24"/>
                <w:highlight w:val="none"/>
              </w:rPr>
              <w:t>。</w:t>
            </w:r>
          </w:p>
          <w:p>
            <w:pPr>
              <w:numPr>
                <w:ilvl w:val="0"/>
                <w:numId w:val="14"/>
              </w:numPr>
              <w:autoSpaceDE w:val="0"/>
              <w:autoSpaceDN w:val="0"/>
              <w:adjustRightInd w:val="0"/>
              <w:spacing w:after="160"/>
              <w:ind w:firstLine="120"/>
              <w:rPr>
                <w:rFonts w:hAnsi="宋体" w:cs="宋体"/>
                <w:color w:val="auto"/>
                <w:sz w:val="24"/>
                <w:szCs w:val="24"/>
                <w:highlight w:val="none"/>
              </w:rPr>
            </w:pPr>
            <w:r>
              <w:rPr>
                <w:rFonts w:hint="eastAsia" w:hAnsi="宋体" w:cs="宋体"/>
                <w:color w:val="auto"/>
                <w:sz w:val="24"/>
                <w:szCs w:val="24"/>
                <w:highlight w:val="none"/>
              </w:rPr>
              <w:t>采购产品为优先采购节能、环保产品的，应按本磋商文件第六章“评审办法”的评审因素进行评分。</w:t>
            </w:r>
          </w:p>
          <w:p>
            <w:pPr>
              <w:numPr>
                <w:ilvl w:val="0"/>
                <w:numId w:val="14"/>
              </w:numPr>
              <w:autoSpaceDE w:val="0"/>
              <w:autoSpaceDN w:val="0"/>
              <w:adjustRightInd w:val="0"/>
              <w:spacing w:after="160"/>
              <w:ind w:firstLine="120"/>
              <w:rPr>
                <w:rFonts w:hAnsi="宋体" w:cs="宋体"/>
                <w:color w:val="auto"/>
                <w:sz w:val="24"/>
                <w:szCs w:val="24"/>
                <w:highlight w:val="none"/>
              </w:rPr>
            </w:pPr>
            <w:r>
              <w:rPr>
                <w:rFonts w:hint="eastAsia" w:hAnsi="宋体" w:cs="宋体"/>
                <w:color w:val="auto"/>
                <w:sz w:val="24"/>
                <w:szCs w:val="24"/>
                <w:highlight w:val="none"/>
              </w:rPr>
              <w:t>报价时属清单内产品，须提供国家确定的认证机构出具的、处于有效期之内的节能产品、环境标志产品认证证书，否则不予认可。</w:t>
            </w:r>
          </w:p>
          <w:p>
            <w:pPr>
              <w:numPr>
                <w:ilvl w:val="0"/>
                <w:numId w:val="14"/>
              </w:numPr>
              <w:autoSpaceDE w:val="0"/>
              <w:autoSpaceDN w:val="0"/>
              <w:adjustRightInd w:val="0"/>
              <w:spacing w:after="160"/>
              <w:ind w:firstLine="120"/>
              <w:rPr>
                <w:rFonts w:hAnsi="宋体" w:cs="宋体"/>
                <w:color w:val="auto"/>
                <w:sz w:val="24"/>
                <w:szCs w:val="24"/>
                <w:highlight w:val="none"/>
              </w:rPr>
            </w:pPr>
            <w:r>
              <w:rPr>
                <w:rFonts w:hint="eastAsia" w:hAnsi="宋体" w:cs="宋体"/>
                <w:color w:val="auto"/>
                <w:sz w:val="24"/>
                <w:szCs w:val="24"/>
                <w:highlight w:val="none"/>
              </w:rPr>
              <w:t>政府采购节能产品、环境标志产品品目清单以财政部、发展改革委、生态环境部等部门公布的最新一期清单为准。</w:t>
            </w:r>
          </w:p>
          <w:p>
            <w:pPr>
              <w:autoSpaceDE w:val="0"/>
              <w:autoSpaceDN w:val="0"/>
              <w:adjustRightInd w:val="0"/>
              <w:spacing w:after="160"/>
              <w:ind w:left="120"/>
              <w:rPr>
                <w:rFonts w:hAnsi="宋体" w:cs="宋体"/>
                <w:color w:val="auto"/>
                <w:sz w:val="24"/>
                <w:szCs w:val="24"/>
                <w:highlight w:val="none"/>
              </w:rPr>
            </w:pPr>
            <w:r>
              <w:rPr>
                <w:rFonts w:hint="eastAsia" w:hAnsi="宋体" w:cs="宋体"/>
                <w:color w:val="auto"/>
                <w:sz w:val="24"/>
                <w:szCs w:val="24"/>
                <w:highlight w:val="none"/>
              </w:rPr>
              <w:t>二、无线局域网产品政府采购政策：</w:t>
            </w:r>
          </w:p>
          <w:p>
            <w:pPr>
              <w:autoSpaceDE w:val="0"/>
              <w:autoSpaceDN w:val="0"/>
              <w:adjustRightInd w:val="0"/>
              <w:spacing w:after="160"/>
              <w:ind w:left="120"/>
              <w:rPr>
                <w:rFonts w:hAnsi="宋体" w:cs="宋体"/>
                <w:color w:val="auto"/>
                <w:sz w:val="24"/>
                <w:szCs w:val="24"/>
                <w:highlight w:val="none"/>
              </w:rPr>
            </w:pPr>
            <w:r>
              <w:rPr>
                <w:rFonts w:hint="eastAsia" w:hAnsi="宋体" w:cs="宋体"/>
                <w:color w:val="auto"/>
                <w:sz w:val="24"/>
                <w:szCs w:val="24"/>
                <w:highlight w:val="none"/>
              </w:rPr>
              <w:t>本项目采购的产品属于中国政府采购网公布的《无线局域网认证产品政府采购清单》的，按照第六章评标办法的规则进行评分。</w:t>
            </w:r>
          </w:p>
          <w:p>
            <w:pPr>
              <w:autoSpaceDE w:val="0"/>
              <w:autoSpaceDN w:val="0"/>
              <w:adjustRightInd w:val="0"/>
              <w:spacing w:after="160"/>
              <w:ind w:left="120"/>
              <w:rPr>
                <w:rFonts w:hAnsi="宋体" w:cs="宋体"/>
                <w:color w:val="auto"/>
                <w:sz w:val="24"/>
                <w:szCs w:val="24"/>
                <w:highlight w:val="none"/>
              </w:rPr>
            </w:pPr>
            <w:r>
              <w:rPr>
                <w:rFonts w:hint="eastAsia" w:hAnsi="宋体" w:cs="宋体"/>
                <w:color w:val="auto"/>
                <w:sz w:val="24"/>
                <w:szCs w:val="24"/>
                <w:highlight w:val="none"/>
              </w:rPr>
              <w:t>三、扶持不发达地区和少数民族地区</w:t>
            </w:r>
          </w:p>
          <w:p>
            <w:pPr>
              <w:autoSpaceDE w:val="0"/>
              <w:autoSpaceDN w:val="0"/>
              <w:adjustRightInd w:val="0"/>
              <w:spacing w:after="160"/>
              <w:ind w:left="120"/>
              <w:rPr>
                <w:rFonts w:hAnsi="宋体" w:cs="宋体"/>
                <w:color w:val="auto"/>
                <w:sz w:val="24"/>
                <w:szCs w:val="24"/>
                <w:highlight w:val="none"/>
              </w:rPr>
            </w:pPr>
            <w:r>
              <w:rPr>
                <w:rFonts w:hint="eastAsia" w:hAnsi="宋体" w:cs="宋体"/>
                <w:color w:val="auto"/>
                <w:sz w:val="24"/>
                <w:szCs w:val="24"/>
                <w:highlight w:val="none"/>
              </w:rPr>
              <w:t>在综合得分、报价、全部实质性要求、量化指标得分等各方面同等情况下，不发达地区和少数民族地区的供应商排名在前（不发达地区或少数民族地区的供应商需提供属于不发达地区或少数民族地区企业的相关证明材料，或供应商注册地为少数民族地区）。</w:t>
            </w:r>
          </w:p>
          <w:p>
            <w:pPr>
              <w:ind w:firstLine="120" w:firstLineChars="0"/>
              <w:rPr>
                <w:rFonts w:ascii="Times New Roman" w:hAnsi="Times New Roman"/>
                <w:b/>
                <w:bCs/>
                <w:color w:val="auto"/>
                <w:szCs w:val="21"/>
                <w:highlight w:val="none"/>
                <w:lang w:val="zh-CN"/>
              </w:rPr>
            </w:pPr>
            <w:r>
              <w:rPr>
                <w:rFonts w:hint="eastAsia" w:hAnsi="宋体" w:cs="宋体"/>
                <w:b/>
                <w:color w:val="auto"/>
                <w:sz w:val="24"/>
                <w:szCs w:val="24"/>
                <w:highlight w:val="none"/>
              </w:rPr>
              <w:t>注：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19</w:t>
            </w:r>
          </w:p>
        </w:tc>
        <w:tc>
          <w:tcPr>
            <w:tcW w:w="2199" w:type="dxa"/>
            <w:tcBorders>
              <w:right w:val="single" w:color="auto" w:sz="4" w:space="0"/>
            </w:tcBorders>
            <w:vAlign w:val="center"/>
          </w:tcPr>
          <w:p>
            <w:pPr>
              <w:spacing w:line="360" w:lineRule="auto"/>
              <w:jc w:val="center"/>
              <w:rPr>
                <w:rFonts w:ascii="Times New Roman" w:hAnsi="Times New Roman"/>
                <w:bCs/>
                <w:color w:val="auto"/>
                <w:sz w:val="24"/>
                <w:highlight w:val="none"/>
                <w:lang w:val="zh-CN"/>
              </w:rPr>
            </w:pPr>
            <w:r>
              <w:rPr>
                <w:rFonts w:ascii="Times New Roman" w:hAnsi="Times New Roman"/>
                <w:color w:val="auto"/>
                <w:sz w:val="24"/>
                <w:szCs w:val="24"/>
                <w:highlight w:val="none"/>
              </w:rPr>
              <w:t>小型和微型企业、监狱企业及残疾人福利性单位产品的价格扣除比例</w:t>
            </w:r>
          </w:p>
        </w:tc>
        <w:tc>
          <w:tcPr>
            <w:tcW w:w="7146" w:type="dxa"/>
            <w:tcBorders>
              <w:left w:val="single" w:color="auto" w:sz="4" w:space="0"/>
            </w:tcBorders>
            <w:vAlign w:val="center"/>
          </w:tcPr>
          <w:p>
            <w:pPr>
              <w:pStyle w:val="245"/>
              <w:jc w:val="both"/>
              <w:rPr>
                <w:rFonts w:hint="eastAsia" w:ascii="宋体" w:hAnsi="宋体" w:eastAsia="宋体" w:cs="宋体"/>
                <w:b/>
                <w:color w:val="auto"/>
                <w:sz w:val="24"/>
                <w:szCs w:val="24"/>
                <w:highlight w:val="none"/>
                <w:lang w:val="en-US" w:eastAsia="zh-CN" w:bidi="ar-SA"/>
              </w:rPr>
            </w:pPr>
            <w:r>
              <w:rPr>
                <w:rFonts w:hint="eastAsia" w:ascii="Times New Roman" w:hAnsi="Times New Roman" w:cs="Times New Roman"/>
                <w:b/>
                <w:color w:val="auto"/>
                <w:highlight w:val="none"/>
                <w:lang w:eastAsia="zh-CN"/>
              </w:rPr>
              <w:t>本项目为专门面向中小企业采购（监狱企业、残疾人福利性单位均视同小微企业），不再进行价格扣除。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jc w:val="center"/>
              <w:rPr>
                <w:rFonts w:hint="eastAsia" w:ascii="Times New Roman" w:hAnsi="Times New Roman" w:eastAsia="宋体"/>
                <w:color w:val="auto"/>
                <w:sz w:val="24"/>
                <w:highlight w:val="none"/>
                <w:lang w:eastAsia="zh-CN"/>
              </w:rPr>
            </w:pPr>
            <w:r>
              <w:rPr>
                <w:rFonts w:ascii="Times New Roman" w:hAnsi="Times New Roman"/>
                <w:color w:val="auto"/>
                <w:sz w:val="24"/>
                <w:highlight w:val="none"/>
              </w:rPr>
              <w:t>2</w:t>
            </w:r>
            <w:r>
              <w:rPr>
                <w:rFonts w:hint="eastAsia" w:ascii="Times New Roman" w:hAnsi="Times New Roman"/>
                <w:color w:val="auto"/>
                <w:sz w:val="24"/>
                <w:highlight w:val="none"/>
                <w:lang w:val="en-US" w:eastAsia="zh-CN"/>
              </w:rPr>
              <w:t>0</w:t>
            </w:r>
          </w:p>
        </w:tc>
        <w:tc>
          <w:tcPr>
            <w:tcW w:w="2199" w:type="dxa"/>
            <w:tcBorders>
              <w:right w:val="single" w:color="auto" w:sz="4" w:space="0"/>
            </w:tcBorders>
            <w:vAlign w:val="center"/>
          </w:tcPr>
          <w:p>
            <w:pPr>
              <w:ind w:firstLine="120" w:firstLineChars="50"/>
              <w:jc w:val="center"/>
              <w:rPr>
                <w:rFonts w:ascii="Times New Roman" w:hAnsi="Times New Roman"/>
                <w:bCs/>
                <w:color w:val="auto"/>
                <w:sz w:val="24"/>
                <w:szCs w:val="22"/>
                <w:highlight w:val="none"/>
                <w:lang w:val="zh-CN"/>
              </w:rPr>
            </w:pPr>
            <w:r>
              <w:rPr>
                <w:rFonts w:ascii="Times New Roman" w:hAnsi="Times New Roman"/>
                <w:bCs/>
                <w:color w:val="auto"/>
                <w:sz w:val="24"/>
                <w:szCs w:val="22"/>
                <w:highlight w:val="none"/>
                <w:lang w:val="zh-CN"/>
              </w:rPr>
              <w:t>磋商小组人数</w:t>
            </w:r>
          </w:p>
        </w:tc>
        <w:tc>
          <w:tcPr>
            <w:tcW w:w="7146" w:type="dxa"/>
            <w:tcBorders>
              <w:left w:val="single" w:color="auto" w:sz="4" w:space="0"/>
            </w:tcBorders>
            <w:vAlign w:val="center"/>
          </w:tcPr>
          <w:p>
            <w:pPr>
              <w:rPr>
                <w:rFonts w:ascii="Times New Roman" w:hAnsi="Times New Roman"/>
                <w:color w:val="auto"/>
                <w:sz w:val="24"/>
                <w:szCs w:val="24"/>
                <w:highlight w:val="none"/>
              </w:rPr>
            </w:pPr>
            <w:r>
              <w:rPr>
                <w:rFonts w:ascii="Times New Roman" w:hAnsi="Times New Roman"/>
                <w:color w:val="auto"/>
                <w:sz w:val="24"/>
                <w:szCs w:val="24"/>
                <w:highlight w:val="none"/>
                <w:lang w:val="zh-CN"/>
              </w:rPr>
              <w:t>磋商小组为</w:t>
            </w:r>
            <w:r>
              <w:rPr>
                <w:rFonts w:ascii="Times New Roman" w:hAnsi="Times New Roman"/>
                <w:color w:val="auto"/>
                <w:sz w:val="24"/>
                <w:szCs w:val="24"/>
                <w:highlight w:val="none"/>
              </w:rPr>
              <w:t>3人（含3人）以上单数。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jc w:val="center"/>
              <w:rPr>
                <w:rFonts w:hint="eastAsia" w:ascii="Times New Roman" w:hAnsi="Times New Roman" w:eastAsia="宋体"/>
                <w:color w:val="auto"/>
                <w:sz w:val="24"/>
                <w:highlight w:val="none"/>
                <w:lang w:eastAsia="zh-CN"/>
              </w:rPr>
            </w:pPr>
            <w:r>
              <w:rPr>
                <w:rFonts w:ascii="Times New Roman" w:hAnsi="Times New Roman"/>
                <w:color w:val="auto"/>
                <w:sz w:val="24"/>
                <w:highlight w:val="none"/>
              </w:rPr>
              <w:t>2</w:t>
            </w:r>
            <w:r>
              <w:rPr>
                <w:rFonts w:hint="eastAsia" w:ascii="Times New Roman" w:hAnsi="Times New Roman"/>
                <w:color w:val="auto"/>
                <w:sz w:val="24"/>
                <w:highlight w:val="none"/>
                <w:lang w:val="en-US" w:eastAsia="zh-CN"/>
              </w:rPr>
              <w:t>1</w:t>
            </w:r>
          </w:p>
        </w:tc>
        <w:tc>
          <w:tcPr>
            <w:tcW w:w="2199" w:type="dxa"/>
            <w:tcBorders>
              <w:right w:val="single" w:color="auto" w:sz="4" w:space="0"/>
            </w:tcBorders>
            <w:vAlign w:val="center"/>
          </w:tcPr>
          <w:p>
            <w:pPr>
              <w:ind w:firstLine="120" w:firstLineChars="50"/>
              <w:jc w:val="center"/>
              <w:rPr>
                <w:rFonts w:ascii="Times New Roman" w:hAnsi="Times New Roman"/>
                <w:bCs/>
                <w:color w:val="auto"/>
                <w:sz w:val="24"/>
                <w:szCs w:val="22"/>
                <w:highlight w:val="none"/>
                <w:lang w:val="zh-CN"/>
              </w:rPr>
            </w:pPr>
            <w:r>
              <w:rPr>
                <w:rFonts w:ascii="Times New Roman" w:hAnsi="Times New Roman"/>
                <w:bCs/>
                <w:color w:val="auto"/>
                <w:sz w:val="24"/>
                <w:szCs w:val="22"/>
                <w:highlight w:val="none"/>
                <w:lang w:val="zh-CN"/>
              </w:rPr>
              <w:t>特别说明</w:t>
            </w:r>
          </w:p>
        </w:tc>
        <w:tc>
          <w:tcPr>
            <w:tcW w:w="7146" w:type="dxa"/>
            <w:tcBorders>
              <w:left w:val="single" w:color="auto" w:sz="4" w:space="0"/>
            </w:tcBorders>
            <w:vAlign w:val="center"/>
          </w:tcPr>
          <w:p>
            <w:pPr>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本项目采购文件中如出现品牌、型号的，</w:t>
            </w:r>
            <w:r>
              <w:rPr>
                <w:rFonts w:ascii="Times New Roman" w:hAnsi="Times New Roman"/>
                <w:color w:val="auto"/>
                <w:sz w:val="24"/>
                <w:highlight w:val="none"/>
              </w:rPr>
              <w:t>均不作为指定要求，而仅为技术水平、产品品质的客观参考</w:t>
            </w:r>
            <w:r>
              <w:rPr>
                <w:rFonts w:ascii="Times New Roman" w:hAnsi="Times New Roman"/>
                <w:color w:val="auto"/>
                <w:sz w:val="24"/>
                <w:szCs w:val="24"/>
                <w:highlight w:val="none"/>
                <w:lang w:val="zh-CN"/>
              </w:rPr>
              <w:t>。</w:t>
            </w:r>
            <w:r>
              <w:rPr>
                <w:rFonts w:ascii="Times New Roman" w:hAnsi="Times New Roman"/>
                <w:color w:val="auto"/>
                <w:sz w:val="24"/>
                <w:highlight w:val="none"/>
              </w:rPr>
              <w:t>供应商可选择推荐品牌型号或同等及以上品牌产品。</w:t>
            </w:r>
            <w:r>
              <w:rPr>
                <w:rFonts w:ascii="Times New Roman" w:hAnsi="Times New Roman"/>
                <w:color w:val="auto"/>
                <w:sz w:val="24"/>
                <w:szCs w:val="24"/>
                <w:highlight w:val="none"/>
                <w:lang w:val="zh-CN"/>
              </w:rPr>
              <w:t>（若与其它地方不一致的，请以本条为准）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jc w:val="center"/>
              <w:rPr>
                <w:rFonts w:hint="eastAsia" w:ascii="Times New Roman" w:hAnsi="Times New Roman" w:eastAsia="宋体"/>
                <w:color w:val="auto"/>
                <w:sz w:val="24"/>
                <w:highlight w:val="none"/>
                <w:lang w:eastAsia="zh-CN"/>
              </w:rPr>
            </w:pPr>
            <w:r>
              <w:rPr>
                <w:rFonts w:ascii="Times New Roman" w:hAnsi="Times New Roman"/>
                <w:color w:val="auto"/>
                <w:sz w:val="24"/>
                <w:highlight w:val="none"/>
              </w:rPr>
              <w:t>2</w:t>
            </w:r>
            <w:r>
              <w:rPr>
                <w:rFonts w:hint="eastAsia" w:ascii="Times New Roman" w:hAnsi="Times New Roman"/>
                <w:color w:val="auto"/>
                <w:sz w:val="24"/>
                <w:highlight w:val="none"/>
                <w:lang w:val="en-US" w:eastAsia="zh-CN"/>
              </w:rPr>
              <w:t>2</w:t>
            </w:r>
          </w:p>
        </w:tc>
        <w:tc>
          <w:tcPr>
            <w:tcW w:w="2199" w:type="dxa"/>
            <w:tcBorders>
              <w:right w:val="single" w:color="auto" w:sz="4" w:space="0"/>
            </w:tcBorders>
            <w:vAlign w:val="center"/>
          </w:tcPr>
          <w:p>
            <w:pPr>
              <w:jc w:val="center"/>
              <w:rPr>
                <w:rFonts w:ascii="Times New Roman" w:hAnsi="Times New Roman"/>
                <w:bCs/>
                <w:color w:val="auto"/>
                <w:sz w:val="24"/>
                <w:szCs w:val="22"/>
                <w:highlight w:val="none"/>
                <w:lang w:val="zh-CN"/>
              </w:rPr>
            </w:pPr>
            <w:r>
              <w:rPr>
                <w:rFonts w:ascii="Times New Roman" w:hAnsi="Times New Roman"/>
                <w:bCs/>
                <w:color w:val="auto"/>
                <w:sz w:val="24"/>
                <w:highlight w:val="none"/>
              </w:rPr>
              <w:t>采购标的对应的中小企业划分标准所述行业</w:t>
            </w:r>
          </w:p>
        </w:tc>
        <w:tc>
          <w:tcPr>
            <w:tcW w:w="7146" w:type="dxa"/>
            <w:tcBorders>
              <w:left w:val="single" w:color="auto" w:sz="4" w:space="0"/>
            </w:tcBorders>
            <w:vAlign w:val="center"/>
          </w:tcPr>
          <w:p>
            <w:pPr>
              <w:snapToGrid w:val="0"/>
              <w:rPr>
                <w:rFonts w:ascii="Times New Roman" w:hAnsi="Times New Roman"/>
                <w:color w:val="auto"/>
                <w:sz w:val="24"/>
                <w:szCs w:val="24"/>
                <w:highlight w:val="none"/>
                <w:lang w:val="zh-CN"/>
              </w:rPr>
            </w:pPr>
            <w:r>
              <w:rPr>
                <w:rFonts w:ascii="Times New Roman" w:hAnsi="Times New Roman"/>
                <w:color w:val="auto"/>
                <w:sz w:val="24"/>
                <w:highlight w:val="none"/>
              </w:rPr>
              <w:t>标的名称（</w:t>
            </w:r>
            <w:r>
              <w:rPr>
                <w:rFonts w:hint="eastAsia" w:ascii="Times New Roman" w:hAnsi="Times New Roman"/>
                <w:b/>
                <w:bCs/>
                <w:color w:val="auto"/>
                <w:sz w:val="24"/>
                <w:highlight w:val="none"/>
                <w:lang w:eastAsia="zh-CN"/>
              </w:rPr>
              <w:t>GJB 5000B换版服务</w:t>
            </w:r>
            <w:r>
              <w:rPr>
                <w:rFonts w:ascii="Times New Roman" w:hAnsi="Times New Roman"/>
                <w:color w:val="auto"/>
                <w:sz w:val="24"/>
                <w:highlight w:val="none"/>
              </w:rPr>
              <w:t>）所属行业为：</w:t>
            </w:r>
            <w:r>
              <w:rPr>
                <w:rFonts w:hint="eastAsia" w:hAnsi="宋体" w:cs="宋体"/>
                <w:b/>
                <w:bCs/>
                <w:color w:val="auto"/>
                <w:sz w:val="24"/>
                <w:highlight w:val="none"/>
                <w:lang w:val="en-US" w:eastAsia="zh-CN"/>
              </w:rPr>
              <w:t>软件和信息技术服务业</w:t>
            </w:r>
            <w:r>
              <w:rPr>
                <w:rFonts w:ascii="Times New Roman" w:hAnsi="Times New Roman"/>
                <w:b/>
                <w:bCs/>
                <w:color w:val="auto"/>
                <w:sz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615" w:type="dxa"/>
            <w:vAlign w:val="center"/>
          </w:tcPr>
          <w:p>
            <w:pPr>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23</w:t>
            </w:r>
          </w:p>
        </w:tc>
        <w:tc>
          <w:tcPr>
            <w:tcW w:w="2199" w:type="dxa"/>
            <w:tcBorders>
              <w:right w:val="single" w:color="auto" w:sz="4" w:space="0"/>
            </w:tcBorders>
            <w:vAlign w:val="center"/>
          </w:tcPr>
          <w:p>
            <w:pPr>
              <w:jc w:val="center"/>
              <w:rPr>
                <w:rFonts w:ascii="Times New Roman" w:hAnsi="Times New Roman"/>
                <w:bCs/>
                <w:color w:val="auto"/>
                <w:sz w:val="24"/>
                <w:highlight w:val="none"/>
              </w:rPr>
            </w:pPr>
            <w:r>
              <w:rPr>
                <w:rFonts w:hint="eastAsia" w:hAnsi="宋体" w:cs="宋体"/>
                <w:bCs/>
                <w:color w:val="auto"/>
                <w:sz w:val="24"/>
                <w:highlight w:val="none"/>
                <w:lang w:val="en-US" w:eastAsia="zh-CN"/>
              </w:rPr>
              <w:t>是否专门面向中小企业</w:t>
            </w:r>
          </w:p>
        </w:tc>
        <w:tc>
          <w:tcPr>
            <w:tcW w:w="7146" w:type="dxa"/>
            <w:tcBorders>
              <w:left w:val="single" w:color="auto" w:sz="4" w:space="0"/>
            </w:tcBorders>
            <w:vAlign w:val="center"/>
          </w:tcPr>
          <w:p>
            <w:pPr>
              <w:snapToGrid w:val="0"/>
              <w:jc w:val="center"/>
              <w:rPr>
                <w:rFonts w:ascii="Times New Roman" w:hAnsi="Times New Roman"/>
                <w:color w:val="auto"/>
                <w:sz w:val="24"/>
                <w:highlight w:val="none"/>
              </w:rPr>
            </w:pPr>
            <w:r>
              <w:rPr>
                <w:rFonts w:hint="eastAsia" w:hAnsi="宋体" w:cs="宋体"/>
                <w:color w:val="auto"/>
                <w:sz w:val="24"/>
                <w:highlight w:val="none"/>
                <w:lang w:val="en-US" w:eastAsia="zh-CN"/>
              </w:rPr>
              <w:t>是</w:t>
            </w:r>
          </w:p>
        </w:tc>
      </w:tr>
    </w:tbl>
    <w:p>
      <w:pPr>
        <w:spacing w:line="360" w:lineRule="auto"/>
        <w:ind w:left="442"/>
        <w:jc w:val="center"/>
        <w:outlineLvl w:val="1"/>
        <w:rPr>
          <w:rFonts w:ascii="Times New Roman" w:hAnsi="Times New Roman"/>
          <w:color w:val="auto"/>
          <w:sz w:val="28"/>
          <w:szCs w:val="28"/>
          <w:highlight w:val="none"/>
        </w:rPr>
      </w:pPr>
      <w:r>
        <w:rPr>
          <w:rFonts w:ascii="Times New Roman" w:hAnsi="Times New Roman"/>
          <w:color w:val="auto"/>
          <w:spacing w:val="-10"/>
          <w:sz w:val="24"/>
          <w:szCs w:val="24"/>
          <w:highlight w:val="none"/>
        </w:rPr>
        <w:br w:type="page"/>
      </w:r>
      <w:bookmarkStart w:id="5" w:name="_Toc6086"/>
      <w:bookmarkStart w:id="6" w:name="_Toc3298120"/>
      <w:r>
        <w:rPr>
          <w:rFonts w:ascii="Times New Roman" w:hAnsi="Times New Roman"/>
          <w:b/>
          <w:bCs/>
          <w:color w:val="auto"/>
          <w:sz w:val="32"/>
          <w:szCs w:val="32"/>
          <w:highlight w:val="none"/>
        </w:rPr>
        <w:t>二、总则</w:t>
      </w:r>
      <w:bookmarkEnd w:id="5"/>
      <w:bookmarkEnd w:id="6"/>
    </w:p>
    <w:p>
      <w:pPr>
        <w:snapToGrid w:val="0"/>
        <w:spacing w:line="360" w:lineRule="auto"/>
        <w:ind w:firstLine="442" w:firstLineChars="200"/>
        <w:outlineLvl w:val="2"/>
        <w:rPr>
          <w:rFonts w:ascii="Times New Roman" w:hAnsi="Times New Roman"/>
          <w:b/>
          <w:color w:val="auto"/>
          <w:spacing w:val="-10"/>
          <w:sz w:val="24"/>
          <w:szCs w:val="24"/>
          <w:highlight w:val="none"/>
        </w:rPr>
      </w:pPr>
      <w:r>
        <w:rPr>
          <w:rFonts w:ascii="Times New Roman" w:hAnsi="Times New Roman"/>
          <w:b/>
          <w:color w:val="auto"/>
          <w:spacing w:val="-10"/>
          <w:sz w:val="24"/>
          <w:szCs w:val="24"/>
          <w:highlight w:val="none"/>
        </w:rPr>
        <w:t>1.适用范围：</w:t>
      </w:r>
    </w:p>
    <w:p>
      <w:pPr>
        <w:snapToGrid w:val="0"/>
        <w:spacing w:line="360" w:lineRule="auto"/>
        <w:ind w:firstLine="440" w:firstLineChars="200"/>
        <w:rPr>
          <w:rFonts w:ascii="Times New Roman" w:hAnsi="Times New Roman"/>
          <w:color w:val="auto"/>
          <w:spacing w:val="-10"/>
          <w:sz w:val="24"/>
          <w:szCs w:val="24"/>
          <w:highlight w:val="none"/>
        </w:rPr>
      </w:pPr>
      <w:r>
        <w:rPr>
          <w:rFonts w:ascii="Times New Roman" w:hAnsi="Times New Roman"/>
          <w:color w:val="auto"/>
          <w:spacing w:val="-10"/>
          <w:sz w:val="24"/>
          <w:szCs w:val="24"/>
          <w:highlight w:val="none"/>
        </w:rPr>
        <w:t>1.1本竞争性磋商</w:t>
      </w:r>
      <w:r>
        <w:rPr>
          <w:rFonts w:ascii="Times New Roman" w:hAnsi="Times New Roman"/>
          <w:color w:val="auto"/>
          <w:sz w:val="24"/>
          <w:highlight w:val="none"/>
        </w:rPr>
        <w:t>文件</w:t>
      </w:r>
      <w:r>
        <w:rPr>
          <w:rFonts w:ascii="Times New Roman" w:hAnsi="Times New Roman"/>
          <w:color w:val="auto"/>
          <w:spacing w:val="-10"/>
          <w:sz w:val="24"/>
          <w:szCs w:val="24"/>
          <w:highlight w:val="none"/>
        </w:rPr>
        <w:t>仅适用于本次竞争性磋商采购项目。</w:t>
      </w:r>
    </w:p>
    <w:p>
      <w:pPr>
        <w:pStyle w:val="2"/>
        <w:snapToGrid w:val="0"/>
        <w:spacing w:after="0" w:line="360" w:lineRule="auto"/>
        <w:ind w:firstLine="440" w:firstLineChars="200"/>
        <w:rPr>
          <w:rFonts w:ascii="Times New Roman"/>
          <w:color w:val="auto"/>
          <w:highlight w:val="none"/>
        </w:rPr>
      </w:pPr>
      <w:r>
        <w:rPr>
          <w:rFonts w:ascii="Times New Roman"/>
          <w:color w:val="auto"/>
          <w:spacing w:val="-10"/>
          <w:sz w:val="24"/>
          <w:szCs w:val="24"/>
          <w:highlight w:val="none"/>
        </w:rPr>
        <w:t>1.2 本竞争性磋商文件的解释权归采购人和采购代理机构所有。</w:t>
      </w:r>
    </w:p>
    <w:p>
      <w:pPr>
        <w:snapToGrid w:val="0"/>
        <w:spacing w:line="360" w:lineRule="auto"/>
        <w:ind w:firstLine="482" w:firstLineChars="200"/>
        <w:outlineLvl w:val="2"/>
        <w:rPr>
          <w:rFonts w:ascii="Times New Roman" w:hAnsi="Times New Roman"/>
          <w:b/>
          <w:color w:val="auto"/>
          <w:sz w:val="24"/>
          <w:szCs w:val="24"/>
          <w:highlight w:val="none"/>
        </w:rPr>
      </w:pPr>
      <w:r>
        <w:rPr>
          <w:rFonts w:ascii="Times New Roman" w:hAnsi="Times New Roman"/>
          <w:b/>
          <w:color w:val="auto"/>
          <w:sz w:val="24"/>
          <w:szCs w:val="24"/>
          <w:highlight w:val="none"/>
        </w:rPr>
        <w:t>2.定义：</w:t>
      </w:r>
    </w:p>
    <w:p>
      <w:pPr>
        <w:tabs>
          <w:tab w:val="left" w:pos="7665"/>
        </w:tabs>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2.1“采购人”系</w:t>
      </w:r>
      <w:r>
        <w:rPr>
          <w:rFonts w:hint="eastAsia" w:ascii="Times New Roman" w:hAnsi="Times New Roman"/>
          <w:color w:val="auto"/>
          <w:sz w:val="24"/>
          <w:szCs w:val="24"/>
          <w:highlight w:val="none"/>
          <w:u w:val="single"/>
        </w:rPr>
        <w:t>中国工程物理研究院</w:t>
      </w:r>
      <w:r>
        <w:rPr>
          <w:rFonts w:hint="eastAsia" w:ascii="Times New Roman" w:hAnsi="Times New Roman"/>
          <w:color w:val="auto"/>
          <w:sz w:val="24"/>
          <w:szCs w:val="24"/>
          <w:highlight w:val="none"/>
          <w:u w:val="single"/>
          <w:lang w:eastAsia="zh-CN"/>
        </w:rPr>
        <w:t>应用电子学研究所</w:t>
      </w:r>
      <w:r>
        <w:rPr>
          <w:rFonts w:ascii="Times New Roman" w:hAnsi="Times New Roman"/>
          <w:color w:val="auto"/>
          <w:sz w:val="24"/>
          <w:szCs w:val="24"/>
          <w:highlight w:val="none"/>
        </w:rPr>
        <w:t>。“采购代理机构”系</w:t>
      </w:r>
      <w:r>
        <w:rPr>
          <w:rFonts w:ascii="Times New Roman" w:hAnsi="Times New Roman"/>
          <w:color w:val="auto"/>
          <w:sz w:val="24"/>
          <w:szCs w:val="24"/>
          <w:highlight w:val="none"/>
          <w:u w:val="single"/>
        </w:rPr>
        <w:t>中化商务有限公司</w:t>
      </w:r>
      <w:r>
        <w:rPr>
          <w:rFonts w:ascii="Times New Roman" w:hAnsi="Times New Roman"/>
          <w:color w:val="auto"/>
          <w:sz w:val="24"/>
          <w:szCs w:val="24"/>
          <w:highlight w:val="none"/>
        </w:rPr>
        <w:t>。</w:t>
      </w:r>
    </w:p>
    <w:p>
      <w:pPr>
        <w:tabs>
          <w:tab w:val="left" w:pos="7665"/>
        </w:tabs>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 “供应商”系指响应磋商文件要求，并提交响应文件的合法单位或自然人。</w:t>
      </w:r>
    </w:p>
    <w:p>
      <w:pPr>
        <w:snapToGrid w:val="0"/>
        <w:spacing w:line="360" w:lineRule="auto"/>
        <w:ind w:firstLine="482" w:firstLineChars="200"/>
        <w:outlineLvl w:val="2"/>
        <w:rPr>
          <w:rFonts w:ascii="Times New Roman" w:hAnsi="Times New Roman"/>
          <w:b/>
          <w:color w:val="auto"/>
          <w:sz w:val="24"/>
          <w:szCs w:val="24"/>
          <w:highlight w:val="none"/>
        </w:rPr>
      </w:pPr>
      <w:r>
        <w:rPr>
          <w:rFonts w:ascii="Times New Roman" w:hAnsi="Times New Roman"/>
          <w:b/>
          <w:color w:val="auto"/>
          <w:sz w:val="24"/>
          <w:szCs w:val="24"/>
          <w:highlight w:val="none"/>
        </w:rPr>
        <w:t>3.合格的供应商资格条件（实质性要求）</w:t>
      </w:r>
    </w:p>
    <w:p>
      <w:pPr>
        <w:tabs>
          <w:tab w:val="left" w:pos="7665"/>
        </w:tabs>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合格的供应商应具备以下条件：</w:t>
      </w:r>
    </w:p>
    <w:p>
      <w:pPr>
        <w:tabs>
          <w:tab w:val="left" w:pos="7665"/>
        </w:tabs>
        <w:snapToGrid w:val="0"/>
        <w:spacing w:line="360" w:lineRule="auto"/>
        <w:ind w:firstLine="480" w:firstLineChars="200"/>
        <w:rPr>
          <w:rFonts w:ascii="Times New Roman" w:hAnsi="Times New Roman"/>
          <w:color w:val="auto"/>
          <w:spacing w:val="-4"/>
          <w:sz w:val="24"/>
          <w:highlight w:val="none"/>
        </w:rPr>
      </w:pPr>
      <w:r>
        <w:rPr>
          <w:rFonts w:ascii="Times New Roman" w:hAnsi="Times New Roman"/>
          <w:color w:val="auto"/>
          <w:sz w:val="24"/>
          <w:highlight w:val="none"/>
        </w:rPr>
        <w:t>（1）本竞争性磋商文件规定的供应商资格条件</w:t>
      </w:r>
      <w:r>
        <w:rPr>
          <w:rFonts w:ascii="Times New Roman" w:hAnsi="Times New Roman"/>
          <w:color w:val="auto"/>
          <w:spacing w:val="-4"/>
          <w:sz w:val="24"/>
          <w:highlight w:val="none"/>
        </w:rPr>
        <w:t>；</w:t>
      </w:r>
    </w:p>
    <w:p>
      <w:pPr>
        <w:tabs>
          <w:tab w:val="left" w:pos="7665"/>
        </w:tabs>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（2）遵守国家有关的法律、法规、规章和其他政策制度；</w:t>
      </w:r>
    </w:p>
    <w:p>
      <w:pPr>
        <w:tabs>
          <w:tab w:val="left" w:pos="7665"/>
        </w:tabs>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（3）向采购代理机构购买了竞争性磋商文件。</w:t>
      </w:r>
    </w:p>
    <w:p>
      <w:pPr>
        <w:snapToGrid w:val="0"/>
        <w:spacing w:line="360" w:lineRule="auto"/>
        <w:ind w:firstLine="482" w:firstLineChars="200"/>
        <w:outlineLvl w:val="2"/>
        <w:rPr>
          <w:rFonts w:ascii="Times New Roman" w:hAnsi="Times New Roman"/>
          <w:b/>
          <w:color w:val="auto"/>
          <w:sz w:val="24"/>
          <w:szCs w:val="24"/>
          <w:highlight w:val="none"/>
        </w:rPr>
      </w:pPr>
      <w:r>
        <w:rPr>
          <w:rFonts w:ascii="Times New Roman" w:hAnsi="Times New Roman"/>
          <w:b/>
          <w:color w:val="auto"/>
          <w:sz w:val="24"/>
          <w:szCs w:val="24"/>
          <w:highlight w:val="none"/>
        </w:rPr>
        <w:t>4.竞争性磋商采购费用</w:t>
      </w:r>
    </w:p>
    <w:p>
      <w:pPr>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无论竞争性磋商的成交结果如何，供应商自行承担所有与参加竞争性磋商有关的全部费用。</w:t>
      </w:r>
    </w:p>
    <w:p>
      <w:pPr>
        <w:pStyle w:val="231"/>
        <w:adjustRightInd/>
        <w:snapToGrid w:val="0"/>
        <w:spacing w:line="360" w:lineRule="auto"/>
        <w:ind w:firstLine="482" w:firstLineChars="200"/>
        <w:outlineLvl w:val="2"/>
        <w:rPr>
          <w:rFonts w:ascii="Times New Roman" w:hAnsi="Times New Roman"/>
          <w:b/>
          <w:color w:val="auto"/>
          <w:sz w:val="24"/>
          <w:szCs w:val="24"/>
          <w:highlight w:val="none"/>
        </w:rPr>
      </w:pPr>
      <w:r>
        <w:rPr>
          <w:rFonts w:ascii="Times New Roman" w:hAnsi="Times New Roman"/>
          <w:b/>
          <w:color w:val="auto"/>
          <w:sz w:val="24"/>
          <w:szCs w:val="24"/>
          <w:highlight w:val="none"/>
        </w:rPr>
        <w:t>5.充分、公平竞争保障措施（实质性要求）</w:t>
      </w:r>
    </w:p>
    <w:p>
      <w:pPr>
        <w:pStyle w:val="194"/>
        <w:adjustRightInd/>
        <w:snapToGrid w:val="0"/>
        <w:spacing w:line="360" w:lineRule="auto"/>
        <w:ind w:firstLine="480" w:firstLineChars="200"/>
        <w:rPr>
          <w:rFonts w:ascii="Times New Roman" w:hAnsi="Times New Roman"/>
          <w:color w:val="auto"/>
          <w:sz w:val="28"/>
          <w:szCs w:val="28"/>
          <w:highlight w:val="none"/>
        </w:rPr>
      </w:pPr>
      <w:r>
        <w:rPr>
          <w:rFonts w:ascii="Times New Roman" w:hAnsi="Times New Roman"/>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194"/>
        <w:adjustRightInd/>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194"/>
        <w:adjustRightInd/>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194"/>
        <w:adjustRightInd/>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5.4供应商实际控制人或者中高级管理人员，同时是采购代理机构工作人员，不得参与本项目采购活动。</w:t>
      </w:r>
    </w:p>
    <w:p>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5.5供应商与采购代理机构存在关联关系，或者是采购代理机构的母公司或子公司，不得参加本项目采购活动。</w:t>
      </w:r>
    </w:p>
    <w:p>
      <w:pPr>
        <w:pStyle w:val="194"/>
        <w:adjustRightInd/>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5.6回避。采购活动中，采购人员及相关人员与供应商有下列利害关系之一的，应当回避：</w:t>
      </w:r>
    </w:p>
    <w:p>
      <w:pPr>
        <w:pStyle w:val="194"/>
        <w:adjustRightInd/>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（1）参加采购活动前3年内与供应商存在劳动关系；</w:t>
      </w:r>
    </w:p>
    <w:p>
      <w:pPr>
        <w:pStyle w:val="194"/>
        <w:adjustRightInd/>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（2）参加采购活动前3年内担任供应商的董事、监事；</w:t>
      </w:r>
    </w:p>
    <w:p>
      <w:pPr>
        <w:pStyle w:val="194"/>
        <w:adjustRightInd/>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（3）参加采购活动前3年内是供应商的控股股东或者实际控制人；</w:t>
      </w:r>
    </w:p>
    <w:p>
      <w:pPr>
        <w:pStyle w:val="194"/>
        <w:adjustRightInd/>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（4）与供应商的法定代表人或者负责人有夫妻、直系血亲、三代以内旁系血亲或者近姻亲关系；</w:t>
      </w:r>
    </w:p>
    <w:p>
      <w:pPr>
        <w:pStyle w:val="194"/>
        <w:adjustRightInd/>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（5）与供应商有其他可能影响采购活动公平、公正进行的关系。</w:t>
      </w:r>
    </w:p>
    <w:p>
      <w:pPr>
        <w:pStyle w:val="194"/>
        <w:adjustRightInd/>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w:t>
      </w:r>
    </w:p>
    <w:p>
      <w:pPr>
        <w:pStyle w:val="194"/>
        <w:adjustRightInd/>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jc w:val="center"/>
        <w:rPr>
          <w:rFonts w:ascii="Times New Roman" w:hAnsi="Times New Roman"/>
          <w:b/>
          <w:bCs/>
          <w:color w:val="auto"/>
          <w:sz w:val="32"/>
          <w:szCs w:val="32"/>
          <w:highlight w:val="none"/>
        </w:rPr>
      </w:pPr>
      <w:bookmarkStart w:id="7" w:name="_Toc3298121"/>
      <w:bookmarkStart w:id="8" w:name="_Toc183682346"/>
      <w:bookmarkStart w:id="9" w:name="_Toc89075875"/>
      <w:bookmarkStart w:id="10" w:name="_Toc77400779"/>
      <w:bookmarkStart w:id="11" w:name="_Toc183582209"/>
      <w:bookmarkStart w:id="12" w:name="_Toc217446038"/>
      <w:bookmarkStart w:id="13" w:name="_Toc469316186"/>
      <w:r>
        <w:rPr>
          <w:rFonts w:ascii="Times New Roman" w:hAnsi="Times New Roman"/>
          <w:b/>
          <w:bCs/>
          <w:color w:val="auto"/>
          <w:sz w:val="32"/>
          <w:szCs w:val="32"/>
          <w:highlight w:val="none"/>
        </w:rPr>
        <w:t>三、</w:t>
      </w:r>
      <w:bookmarkEnd w:id="7"/>
      <w:bookmarkEnd w:id="8"/>
      <w:bookmarkEnd w:id="9"/>
      <w:bookmarkEnd w:id="10"/>
      <w:bookmarkEnd w:id="11"/>
      <w:bookmarkEnd w:id="12"/>
      <w:bookmarkEnd w:id="13"/>
      <w:r>
        <w:rPr>
          <w:rFonts w:ascii="Times New Roman" w:hAnsi="Times New Roman"/>
          <w:b/>
          <w:bCs/>
          <w:color w:val="auto"/>
          <w:sz w:val="32"/>
          <w:szCs w:val="32"/>
          <w:highlight w:val="none"/>
        </w:rPr>
        <w:t>竞争性磋商文件</w:t>
      </w:r>
    </w:p>
    <w:p>
      <w:pPr>
        <w:adjustRightInd w:val="0"/>
        <w:snapToGrid w:val="0"/>
        <w:spacing w:line="360" w:lineRule="auto"/>
        <w:ind w:firstLine="482" w:firstLineChars="200"/>
        <w:outlineLvl w:val="2"/>
        <w:rPr>
          <w:rFonts w:ascii="Times New Roman" w:hAnsi="Times New Roman"/>
          <w:b/>
          <w:color w:val="auto"/>
          <w:sz w:val="24"/>
          <w:szCs w:val="24"/>
          <w:highlight w:val="none"/>
        </w:rPr>
      </w:pPr>
      <w:r>
        <w:rPr>
          <w:rFonts w:ascii="Times New Roman" w:hAnsi="Times New Roman"/>
          <w:b/>
          <w:color w:val="auto"/>
          <w:sz w:val="24"/>
          <w:szCs w:val="24"/>
          <w:highlight w:val="none"/>
        </w:rPr>
        <w:t>6.竞争性磋商文件</w:t>
      </w:r>
    </w:p>
    <w:p>
      <w:pPr>
        <w:pStyle w:val="25"/>
        <w:adjustRightInd w:val="0"/>
        <w:snapToGrid w:val="0"/>
        <w:ind w:firstLine="480" w:firstLineChars="200"/>
        <w:rPr>
          <w:rFonts w:ascii="Times New Roman" w:hAnsi="Times New Roman"/>
          <w:color w:val="auto"/>
          <w:highlight w:val="none"/>
        </w:rPr>
      </w:pPr>
      <w:r>
        <w:rPr>
          <w:rFonts w:ascii="Times New Roman" w:hAnsi="Times New Roman"/>
          <w:color w:val="auto"/>
          <w:highlight w:val="none"/>
        </w:rPr>
        <w:t>6.1竞争性磋商文件是供应商准备响应文件和参加磋商的依据。竞争性磋商文件用以阐明竞争性磋商项目所需的资质、技术、服务及报价等要求、磋商程序、有关规定和注意事项以及合同主要条款等。</w:t>
      </w:r>
    </w:p>
    <w:p>
      <w:pPr>
        <w:pStyle w:val="25"/>
        <w:adjustRightInd w:val="0"/>
        <w:snapToGrid w:val="0"/>
        <w:ind w:firstLine="480" w:firstLineChars="200"/>
        <w:rPr>
          <w:rFonts w:ascii="Times New Roman" w:hAnsi="Times New Roman"/>
          <w:color w:val="auto"/>
          <w:highlight w:val="none"/>
        </w:rPr>
      </w:pPr>
      <w:r>
        <w:rPr>
          <w:rFonts w:ascii="Times New Roman" w:hAnsi="Times New Roman"/>
          <w:color w:val="auto"/>
          <w:highlight w:val="none"/>
        </w:rPr>
        <w:t>6.2供应商应认真阅读和充分理解竞争性磋商文件中所有的事项、格式条款和规范要求。供应商应详细阅读竞争性磋商文件的全部内容，按照竞争性磋商文件的要求提供响应文件，并保证所提供的全部资料的真实性和有效性，一经发现有虚假行为的，将取消其参加磋商或成交资格，并承担相应的法律责任。</w:t>
      </w:r>
    </w:p>
    <w:p>
      <w:pPr>
        <w:adjustRightInd w:val="0"/>
        <w:snapToGrid w:val="0"/>
        <w:spacing w:line="360" w:lineRule="auto"/>
        <w:ind w:firstLine="482" w:firstLineChars="200"/>
        <w:outlineLvl w:val="2"/>
        <w:rPr>
          <w:rFonts w:ascii="Times New Roman" w:hAnsi="Times New Roman"/>
          <w:b/>
          <w:bCs/>
          <w:color w:val="auto"/>
          <w:sz w:val="24"/>
          <w:highlight w:val="none"/>
        </w:rPr>
      </w:pPr>
      <w:bookmarkStart w:id="14" w:name="_Toc183582211"/>
      <w:bookmarkStart w:id="15" w:name="_Toc183682348"/>
      <w:bookmarkStart w:id="16" w:name="_Toc217446040"/>
      <w:r>
        <w:rPr>
          <w:rFonts w:ascii="Times New Roman" w:hAnsi="Times New Roman"/>
          <w:b/>
          <w:bCs/>
          <w:color w:val="auto"/>
          <w:sz w:val="24"/>
          <w:highlight w:val="none"/>
        </w:rPr>
        <w:t>7. 竞争性磋商文件的澄清</w:t>
      </w:r>
      <w:bookmarkEnd w:id="14"/>
      <w:bookmarkEnd w:id="15"/>
      <w:r>
        <w:rPr>
          <w:rFonts w:ascii="Times New Roman" w:hAnsi="Times New Roman"/>
          <w:b/>
          <w:bCs/>
          <w:color w:val="auto"/>
          <w:sz w:val="24"/>
          <w:highlight w:val="none"/>
        </w:rPr>
        <w:t>和修改</w:t>
      </w:r>
      <w:bookmarkEnd w:id="16"/>
    </w:p>
    <w:p>
      <w:pPr>
        <w:tabs>
          <w:tab w:val="left" w:pos="7665"/>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7.1 采购单位可以依法对竞争性磋商文件进行澄清或者修改。</w:t>
      </w:r>
    </w:p>
    <w:p>
      <w:pPr>
        <w:tabs>
          <w:tab w:val="left" w:pos="7665"/>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7.2 采购单位对已发出的竞争性磋商文件进行澄清或者修改，应当以书面形式将澄清或者修改的内容通知所有购买了竞争性磋商文件的供应商。该澄清或者修改的内容为竞争性磋商文件的组成部分，澄清或者修改的内容可能影响响应文件编制的，采购人或者采购代理机构书面通知供应商的时间，应当在递交响应文件截止时间至少5日；不足上述时间的，应当顺延递交响应文件的截止时间。</w:t>
      </w:r>
    </w:p>
    <w:p>
      <w:pPr>
        <w:pStyle w:val="25"/>
        <w:adjustRightInd w:val="0"/>
        <w:snapToGrid w:val="0"/>
        <w:ind w:firstLine="480" w:firstLineChars="200"/>
        <w:rPr>
          <w:rFonts w:ascii="Times New Roman" w:hAnsi="Times New Roman"/>
          <w:color w:val="auto"/>
          <w:highlight w:val="none"/>
        </w:rPr>
      </w:pPr>
      <w:r>
        <w:rPr>
          <w:rFonts w:ascii="Times New Roman" w:hAnsi="Times New Roman"/>
          <w:color w:val="auto"/>
          <w:highlight w:val="none"/>
        </w:rPr>
        <w:t>7.3供应商认为采购代理机构需要对竞争性磋商文件进行澄清或者修改的，可以以书面形式向采购代理机构提出申请，由采购代理机构决定是否采纳供应商的申请事项。</w:t>
      </w:r>
    </w:p>
    <w:p>
      <w:pPr>
        <w:adjustRightInd w:val="0"/>
        <w:snapToGrid w:val="0"/>
        <w:spacing w:line="360" w:lineRule="auto"/>
        <w:ind w:firstLine="482" w:firstLineChars="200"/>
        <w:jc w:val="left"/>
        <w:outlineLvl w:val="2"/>
        <w:rPr>
          <w:rFonts w:ascii="Times New Roman" w:hAnsi="Times New Roman"/>
          <w:b/>
          <w:bCs/>
          <w:color w:val="auto"/>
          <w:sz w:val="24"/>
          <w:highlight w:val="none"/>
        </w:rPr>
      </w:pPr>
      <w:bookmarkStart w:id="17" w:name="_Toc217446041"/>
      <w:bookmarkStart w:id="18" w:name="_Toc208848971"/>
      <w:r>
        <w:rPr>
          <w:rFonts w:ascii="Times New Roman" w:hAnsi="Times New Roman"/>
          <w:b/>
          <w:bCs/>
          <w:color w:val="auto"/>
          <w:sz w:val="24"/>
          <w:highlight w:val="none"/>
        </w:rPr>
        <w:t>8. 答疑会</w:t>
      </w:r>
      <w:bookmarkEnd w:id="17"/>
      <w:bookmarkEnd w:id="18"/>
    </w:p>
    <w:p>
      <w:pPr>
        <w:tabs>
          <w:tab w:val="left" w:pos="7665"/>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8.1根据采购项目和具体情况，采购人、采购代理机构认为有必要，可以在竞争性磋商文件提供期限截止后响应文件提交截止前，组织已获取竞争性磋商文件的潜在供应商召开答疑会。</w:t>
      </w:r>
    </w:p>
    <w:p>
      <w:pPr>
        <w:tabs>
          <w:tab w:val="left" w:pos="7665"/>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8.2采购人、采购代理机构组织召开答疑会的，将以书面形式通知所有获取竞争性磋商文件的潜在供应商。供应商接到通知后，不按照要求参加答疑会的，视同放弃答疑的权利，采购人、采购代理机构不再对该供应商重新组织，但也不会以此限制供应商提交响应文件或者以此将供应商响应文件直接作为无效处理。</w:t>
      </w:r>
    </w:p>
    <w:p>
      <w:pPr>
        <w:numPr>
          <w:ilvl w:val="0"/>
          <w:numId w:val="15"/>
        </w:numPr>
        <w:spacing w:line="360" w:lineRule="auto"/>
        <w:ind w:firstLine="560" w:firstLineChars="200"/>
        <w:jc w:val="center"/>
        <w:rPr>
          <w:rFonts w:ascii="Times New Roman" w:hAnsi="Times New Roman"/>
          <w:color w:val="auto"/>
          <w:sz w:val="28"/>
          <w:szCs w:val="28"/>
          <w:highlight w:val="none"/>
        </w:rPr>
      </w:pPr>
      <w:bookmarkStart w:id="19" w:name="_Toc183582214"/>
      <w:bookmarkStart w:id="20" w:name="_Toc3298122"/>
      <w:bookmarkStart w:id="21" w:name="_Toc77400780"/>
      <w:bookmarkStart w:id="22" w:name="_Toc89075876"/>
      <w:bookmarkStart w:id="23" w:name="_Toc478476777"/>
      <w:bookmarkStart w:id="24" w:name="_Toc469316187"/>
      <w:bookmarkStart w:id="25" w:name="_Toc183682351"/>
      <w:bookmarkStart w:id="26" w:name="_Toc217446042"/>
      <w:r>
        <w:rPr>
          <w:rFonts w:ascii="Times New Roman" w:hAnsi="Times New Roman"/>
          <w:color w:val="auto"/>
          <w:sz w:val="28"/>
          <w:szCs w:val="28"/>
          <w:highlight w:val="none"/>
        </w:rPr>
        <w:t>响应文件</w:t>
      </w:r>
      <w:bookmarkEnd w:id="19"/>
      <w:bookmarkEnd w:id="20"/>
      <w:bookmarkEnd w:id="21"/>
      <w:bookmarkEnd w:id="22"/>
      <w:bookmarkEnd w:id="23"/>
      <w:bookmarkEnd w:id="24"/>
      <w:bookmarkEnd w:id="25"/>
      <w:bookmarkEnd w:id="26"/>
    </w:p>
    <w:p>
      <w:pPr>
        <w:adjustRightInd w:val="0"/>
        <w:snapToGrid w:val="0"/>
        <w:spacing w:line="360" w:lineRule="auto"/>
        <w:ind w:firstLine="482" w:firstLineChars="200"/>
        <w:outlineLvl w:val="2"/>
        <w:rPr>
          <w:rFonts w:ascii="Times New Roman" w:hAnsi="Times New Roman"/>
          <w:b/>
          <w:bCs/>
          <w:color w:val="auto"/>
          <w:sz w:val="24"/>
          <w:highlight w:val="none"/>
        </w:rPr>
      </w:pPr>
      <w:bookmarkStart w:id="27" w:name="_Toc183582215"/>
      <w:bookmarkStart w:id="28" w:name="_Toc183682352"/>
      <w:bookmarkStart w:id="29" w:name="_Toc217446043"/>
      <w:r>
        <w:rPr>
          <w:rFonts w:ascii="Times New Roman" w:hAnsi="Times New Roman"/>
          <w:b/>
          <w:bCs/>
          <w:color w:val="auto"/>
          <w:sz w:val="24"/>
          <w:highlight w:val="none"/>
        </w:rPr>
        <w:t>9．响应文件的语言</w:t>
      </w:r>
      <w:bookmarkEnd w:id="27"/>
      <w:bookmarkEnd w:id="28"/>
      <w:bookmarkEnd w:id="29"/>
    </w:p>
    <w:p>
      <w:pPr>
        <w:tabs>
          <w:tab w:val="left" w:pos="1134"/>
        </w:tabs>
        <w:adjustRightInd w:val="0"/>
        <w:snapToGrid w:val="0"/>
        <w:spacing w:line="360" w:lineRule="auto"/>
        <w:ind w:firstLine="480" w:firstLineChars="200"/>
        <w:jc w:val="left"/>
        <w:rPr>
          <w:rFonts w:ascii="Times New Roman" w:hAnsi="Times New Roman"/>
          <w:color w:val="auto"/>
          <w:sz w:val="24"/>
          <w:highlight w:val="none"/>
        </w:rPr>
      </w:pPr>
      <w:bookmarkStart w:id="30" w:name="_Toc183682353"/>
      <w:bookmarkStart w:id="31" w:name="_Toc183582216"/>
      <w:bookmarkStart w:id="32" w:name="_Toc217446044"/>
      <w:r>
        <w:rPr>
          <w:rFonts w:ascii="Times New Roman" w:hAnsi="Times New Roman"/>
          <w:color w:val="auto"/>
          <w:sz w:val="24"/>
          <w:highlight w:val="none"/>
        </w:rPr>
        <w:t>9.1 供应商提交的响应文件以及供应商与采购单位就有关报价的所有来往书面文件均须使用中文。响应文件中如附有外文资料，应逐一对应翻译成中文并加盖供应商公章后附在相关外文资料后面，否则，所提供的外文资料将可能被视为无效材料。（说明：供应商的法定代表人为外籍人士的，法定代表人的签字和护照除外。不适宜以中文表述或者已经形成国际惯例的标准、范本、证书证件名称除外）</w:t>
      </w:r>
    </w:p>
    <w:p>
      <w:pPr>
        <w:tabs>
          <w:tab w:val="left" w:pos="1134"/>
        </w:tabs>
        <w:adjustRightInd w:val="0"/>
        <w:snapToGrid w:val="0"/>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9.2 翻译的中文资料与外文资料如果出现差异和矛盾时，以中文为准。但不能故意错误翻译，否则，供应商的响应文件将作为无效处理。</w:t>
      </w:r>
    </w:p>
    <w:p>
      <w:pPr>
        <w:pStyle w:val="2"/>
        <w:adjustRightInd w:val="0"/>
        <w:snapToGrid w:val="0"/>
        <w:spacing w:after="0" w:line="360" w:lineRule="auto"/>
        <w:ind w:firstLine="480" w:firstLineChars="200"/>
        <w:rPr>
          <w:rFonts w:ascii="Times New Roman"/>
          <w:color w:val="auto"/>
          <w:highlight w:val="none"/>
        </w:rPr>
      </w:pPr>
      <w:r>
        <w:rPr>
          <w:rFonts w:ascii="Times New Roman"/>
          <w:color w:val="auto"/>
          <w:sz w:val="24"/>
          <w:highlight w:val="none"/>
        </w:rPr>
        <w:t xml:space="preserve"> 9.3 如因为翻译而造成的响应文件无效的风险，由供应商承担。</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10．计量单位</w:t>
      </w:r>
      <w:bookmarkEnd w:id="30"/>
      <w:bookmarkEnd w:id="31"/>
      <w:bookmarkEnd w:id="32"/>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除竞争性磋商文件中另有规定外，本次采购项目所有合同项下的报价均采用国家法定计量单位。</w:t>
      </w:r>
    </w:p>
    <w:p>
      <w:pPr>
        <w:adjustRightInd w:val="0"/>
        <w:snapToGrid w:val="0"/>
        <w:spacing w:line="360" w:lineRule="auto"/>
        <w:ind w:firstLine="482" w:firstLineChars="200"/>
        <w:outlineLvl w:val="2"/>
        <w:rPr>
          <w:rFonts w:ascii="Times New Roman" w:hAnsi="Times New Roman"/>
          <w:b/>
          <w:bCs/>
          <w:color w:val="auto"/>
          <w:sz w:val="24"/>
          <w:highlight w:val="none"/>
        </w:rPr>
      </w:pPr>
      <w:bookmarkStart w:id="33" w:name="_Toc217446045"/>
      <w:r>
        <w:rPr>
          <w:rFonts w:ascii="Times New Roman" w:hAnsi="Times New Roman"/>
          <w:b/>
          <w:bCs/>
          <w:color w:val="auto"/>
          <w:sz w:val="24"/>
          <w:highlight w:val="none"/>
        </w:rPr>
        <w:t>11. 报价货币</w:t>
      </w:r>
      <w:bookmarkEnd w:id="33"/>
    </w:p>
    <w:p>
      <w:pPr>
        <w:tabs>
          <w:tab w:val="left" w:pos="7665"/>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本次竞争性磋商项目的报价均以人民币进行报价</w:t>
      </w:r>
      <w:r>
        <w:rPr>
          <w:rFonts w:ascii="Times New Roman" w:hAnsi="Times New Roman"/>
          <w:bCs/>
          <w:color w:val="auto"/>
          <w:sz w:val="24"/>
          <w:highlight w:val="none"/>
        </w:rPr>
        <w:t>。</w:t>
      </w:r>
    </w:p>
    <w:p>
      <w:pPr>
        <w:adjustRightInd w:val="0"/>
        <w:snapToGrid w:val="0"/>
        <w:spacing w:line="360" w:lineRule="auto"/>
        <w:ind w:firstLine="482" w:firstLineChars="200"/>
        <w:outlineLvl w:val="2"/>
        <w:rPr>
          <w:rFonts w:ascii="Times New Roman" w:hAnsi="Times New Roman"/>
          <w:b/>
          <w:bCs/>
          <w:color w:val="auto"/>
          <w:sz w:val="24"/>
          <w:highlight w:val="none"/>
        </w:rPr>
      </w:pPr>
      <w:bookmarkStart w:id="34" w:name="_Toc217446046"/>
      <w:r>
        <w:rPr>
          <w:rFonts w:ascii="Times New Roman" w:hAnsi="Times New Roman"/>
          <w:b/>
          <w:bCs/>
          <w:color w:val="auto"/>
          <w:sz w:val="24"/>
          <w:highlight w:val="none"/>
        </w:rPr>
        <w:t>12. 联合体</w:t>
      </w:r>
      <w:bookmarkEnd w:id="34"/>
    </w:p>
    <w:p>
      <w:pPr>
        <w:adjustRightInd w:val="0"/>
        <w:snapToGrid w:val="0"/>
        <w:spacing w:line="360" w:lineRule="auto"/>
        <w:ind w:firstLine="480" w:firstLineChars="200"/>
        <w:rPr>
          <w:rFonts w:ascii="Times New Roman" w:hAnsi="Times New Roman"/>
          <w:color w:val="auto"/>
          <w:sz w:val="24"/>
          <w:highlight w:val="none"/>
        </w:rPr>
      </w:pPr>
      <w:bookmarkStart w:id="35" w:name="_Toc217446047"/>
      <w:r>
        <w:rPr>
          <w:rFonts w:ascii="Times New Roman" w:hAnsi="Times New Roman"/>
          <w:color w:val="auto"/>
          <w:sz w:val="24"/>
          <w:highlight w:val="none"/>
        </w:rPr>
        <w:t>12.1 本项目</w:t>
      </w:r>
      <w:r>
        <w:rPr>
          <w:rFonts w:ascii="Times New Roman" w:hAnsi="Times New Roman"/>
          <w:color w:val="auto"/>
          <w:sz w:val="24"/>
          <w:highlight w:val="none"/>
          <w:u w:val="single"/>
        </w:rPr>
        <w:t>不接受</w:t>
      </w:r>
      <w:r>
        <w:rPr>
          <w:rFonts w:ascii="Times New Roman" w:hAnsi="Times New Roman"/>
          <w:color w:val="auto"/>
          <w:sz w:val="24"/>
          <w:highlight w:val="none"/>
        </w:rPr>
        <w:t>联合体参加竞争性磋商。</w:t>
      </w:r>
    </w:p>
    <w:p>
      <w:pPr>
        <w:adjustRightInd w:val="0"/>
        <w:snapToGrid w:val="0"/>
        <w:spacing w:line="360" w:lineRule="auto"/>
        <w:ind w:firstLine="482" w:firstLineChars="200"/>
        <w:outlineLvl w:val="2"/>
        <w:rPr>
          <w:rFonts w:ascii="Times New Roman" w:hAnsi="Times New Roman"/>
          <w:b/>
          <w:bCs/>
          <w:color w:val="auto"/>
          <w:sz w:val="24"/>
          <w:highlight w:val="none"/>
        </w:rPr>
      </w:pPr>
      <w:bookmarkStart w:id="36" w:name="_Toc308164797"/>
      <w:r>
        <w:rPr>
          <w:rFonts w:ascii="Times New Roman" w:hAnsi="Times New Roman"/>
          <w:b/>
          <w:bCs/>
          <w:color w:val="auto"/>
          <w:sz w:val="24"/>
          <w:highlight w:val="none"/>
        </w:rPr>
        <w:t>13. 知识产权</w:t>
      </w:r>
      <w:bookmarkEnd w:id="35"/>
      <w:bookmarkEnd w:id="36"/>
      <w:r>
        <w:rPr>
          <w:rFonts w:ascii="Times New Roman" w:hAnsi="Times New Roman"/>
          <w:b/>
          <w:bCs/>
          <w:color w:val="auto"/>
          <w:sz w:val="24"/>
          <w:highlight w:val="none"/>
        </w:rPr>
        <w:t>（实质性要求）</w:t>
      </w:r>
    </w:p>
    <w:p>
      <w:pPr>
        <w:pStyle w:val="20"/>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pStyle w:val="20"/>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13.2 采购人享有本项目实施过程中产生的知识成果及知识产权。</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13.3 </w:t>
      </w:r>
      <w:r>
        <w:rPr>
          <w:rFonts w:ascii="Times New Roman" w:hAnsi="Times New Roman"/>
          <w:color w:val="auto"/>
          <w:sz w:val="24"/>
          <w:szCs w:val="24"/>
          <w:highlight w:val="none"/>
        </w:rPr>
        <w:t>供应商</w:t>
      </w:r>
      <w:r>
        <w:rPr>
          <w:rFonts w:ascii="Times New Roman" w:hAnsi="Times New Roman"/>
          <w:color w:val="auto"/>
          <w:sz w:val="24"/>
          <w:highlight w:val="none"/>
        </w:rPr>
        <w:t>如欲在项目实施过程中采用自有或者第三方知识成果的，需在响应文件中声明，并提供相关知识产权证明文件。使用该知识成果后，</w:t>
      </w:r>
      <w:r>
        <w:rPr>
          <w:rFonts w:ascii="Times New Roman" w:hAnsi="Times New Roman"/>
          <w:color w:val="auto"/>
          <w:sz w:val="24"/>
          <w:szCs w:val="24"/>
          <w:highlight w:val="none"/>
        </w:rPr>
        <w:t>供应商</w:t>
      </w:r>
      <w:r>
        <w:rPr>
          <w:rFonts w:ascii="Times New Roman" w:hAnsi="Times New Roman"/>
          <w:color w:val="auto"/>
          <w:sz w:val="24"/>
          <w:highlight w:val="none"/>
        </w:rPr>
        <w:t>需提供开发接口和开发手册等技术文档，并承诺提供无限期技术支持，采购人享有永久使用权（含采购人委托第三方在该项目后续开发的使用权）。</w:t>
      </w:r>
    </w:p>
    <w:p>
      <w:pPr>
        <w:adjustRightInd w:val="0"/>
        <w:snapToGrid w:val="0"/>
        <w:spacing w:line="360" w:lineRule="auto"/>
        <w:ind w:firstLine="480" w:firstLineChars="200"/>
        <w:rPr>
          <w:rFonts w:ascii="Times New Roman" w:hAnsi="Times New Roman"/>
          <w:b/>
          <w:bCs/>
          <w:color w:val="auto"/>
          <w:highlight w:val="none"/>
        </w:rPr>
      </w:pPr>
      <w:r>
        <w:rPr>
          <w:rFonts w:ascii="Times New Roman" w:hAnsi="Times New Roman"/>
          <w:color w:val="auto"/>
          <w:sz w:val="24"/>
          <w:highlight w:val="none"/>
        </w:rPr>
        <w:t>13.4 如采用</w:t>
      </w:r>
      <w:r>
        <w:rPr>
          <w:rFonts w:ascii="Times New Roman" w:hAnsi="Times New Roman"/>
          <w:color w:val="auto"/>
          <w:sz w:val="24"/>
          <w:szCs w:val="24"/>
          <w:highlight w:val="none"/>
        </w:rPr>
        <w:t>供应商</w:t>
      </w:r>
      <w:r>
        <w:rPr>
          <w:rFonts w:ascii="Times New Roman" w:hAnsi="Times New Roman"/>
          <w:color w:val="auto"/>
          <w:sz w:val="24"/>
          <w:highlight w:val="none"/>
        </w:rPr>
        <w:t>所不拥有的知识产权，则在报价中必须包括合法获取该知识产权的相关费用。</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14.响应文件的组成：</w:t>
      </w:r>
    </w:p>
    <w:p>
      <w:pPr>
        <w:pStyle w:val="25"/>
        <w:adjustRightInd w:val="0"/>
        <w:snapToGrid w:val="0"/>
        <w:ind w:firstLine="480" w:firstLineChars="200"/>
        <w:rPr>
          <w:rFonts w:ascii="Times New Roman" w:hAnsi="Times New Roman"/>
          <w:color w:val="auto"/>
          <w:highlight w:val="none"/>
        </w:rPr>
      </w:pPr>
      <w:r>
        <w:rPr>
          <w:rFonts w:ascii="Times New Roman" w:hAnsi="Times New Roman"/>
          <w:color w:val="auto"/>
          <w:highlight w:val="none"/>
        </w:rPr>
        <w:t>14.1 供应商须按竞争性磋商文件的要求编写响应文件，对竞争性磋商文件提出的要求和条件做出实质性响应。</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15.报价</w:t>
      </w:r>
    </w:p>
    <w:p>
      <w:pPr>
        <w:adjustRightInd w:val="0"/>
        <w:snapToGrid w:val="0"/>
        <w:spacing w:line="360" w:lineRule="auto"/>
        <w:ind w:firstLine="480" w:firstLineChars="200"/>
        <w:rPr>
          <w:rFonts w:hAnsi="宋体" w:cs="宋体"/>
          <w:color w:val="auto"/>
          <w:sz w:val="24"/>
          <w:szCs w:val="24"/>
          <w:highlight w:val="none"/>
        </w:rPr>
      </w:pPr>
      <w:r>
        <w:rPr>
          <w:rFonts w:hint="eastAsia" w:ascii="Times New Roman" w:hAnsi="Times New Roman" w:eastAsia="宋体" w:cs="Times New Roman"/>
          <w:color w:val="auto"/>
          <w:sz w:val="24"/>
          <w:szCs w:val="24"/>
          <w:highlight w:val="none"/>
          <w:lang w:val="en-US" w:eastAsia="zh-CN" w:bidi="ar-SA"/>
        </w:rPr>
        <w:t>15.1</w:t>
      </w:r>
      <w:r>
        <w:rPr>
          <w:rFonts w:hint="eastAsia" w:hAnsi="宋体" w:cs="宋体"/>
          <w:color w:val="auto"/>
          <w:sz w:val="24"/>
          <w:szCs w:val="24"/>
          <w:highlight w:val="none"/>
        </w:rPr>
        <w:t>供应商报价应为完成本</w:t>
      </w:r>
      <w:r>
        <w:rPr>
          <w:rFonts w:hint="eastAsia" w:hAnsi="宋体" w:cs="宋体"/>
          <w:color w:val="auto"/>
          <w:sz w:val="24"/>
          <w:highlight w:val="none"/>
        </w:rPr>
        <w:t>竞争性磋商</w:t>
      </w:r>
      <w:r>
        <w:rPr>
          <w:rFonts w:hint="eastAsia" w:hAnsi="宋体" w:cs="宋体"/>
          <w:color w:val="auto"/>
          <w:sz w:val="24"/>
          <w:szCs w:val="24"/>
          <w:highlight w:val="none"/>
        </w:rPr>
        <w:t>文件中所要求的全部内容的最终价格。</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15.2本项目采用N轮报价。第1轮：供应商制作响应文件的同时在文件中报价；</w:t>
      </w:r>
      <w:r>
        <w:rPr>
          <w:rFonts w:ascii="Times New Roman" w:hAnsi="Times New Roman"/>
          <w:color w:val="auto"/>
          <w:sz w:val="24"/>
          <w:highlight w:val="none"/>
        </w:rPr>
        <w:t>磋商小组将以本竞争性磋商文件的内容为基础，分别召集所有通过响应文件初审（资格审查、符合性审查）的供货商就合同条款、技术方案以及价格进行单独磋商，磋商</w:t>
      </w:r>
      <w:r>
        <w:rPr>
          <w:rFonts w:ascii="Times New Roman" w:hAnsi="Times New Roman"/>
          <w:b/>
          <w:color w:val="auto"/>
          <w:sz w:val="24"/>
          <w:highlight w:val="none"/>
        </w:rPr>
        <w:t>结束后将由各单位进行最终报价（此报价将作为实质性评审的报价）。</w:t>
      </w:r>
      <w:r>
        <w:rPr>
          <w:rFonts w:ascii="Times New Roman" w:hAnsi="Times New Roman"/>
          <w:color w:val="auto"/>
          <w:sz w:val="24"/>
          <w:highlight w:val="none"/>
        </w:rPr>
        <w:t>在磋商期间，磋商小组可要求供货商对其报价进行澄清，并允许对响应文件的内容做调整，但有关澄清的要求和答复均应以书面形式提交。</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16.响应文件格式</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16.1 供应商按照</w:t>
      </w:r>
      <w:r>
        <w:rPr>
          <w:rFonts w:ascii="Times New Roman" w:hAnsi="Times New Roman"/>
          <w:color w:val="auto"/>
          <w:sz w:val="24"/>
          <w:highlight w:val="none"/>
        </w:rPr>
        <w:t>竞争性磋商</w:t>
      </w:r>
      <w:r>
        <w:rPr>
          <w:rFonts w:ascii="Times New Roman" w:hAnsi="Times New Roman"/>
          <w:color w:val="auto"/>
          <w:sz w:val="24"/>
          <w:szCs w:val="24"/>
          <w:highlight w:val="none"/>
        </w:rPr>
        <w:t>文件第五章的规定要求。</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16.2 对于没有格式要求的</w:t>
      </w:r>
      <w:r>
        <w:rPr>
          <w:rFonts w:ascii="Times New Roman" w:hAnsi="Times New Roman"/>
          <w:color w:val="auto"/>
          <w:sz w:val="24"/>
          <w:highlight w:val="none"/>
        </w:rPr>
        <w:t>竞争性磋商</w:t>
      </w:r>
      <w:r>
        <w:rPr>
          <w:rFonts w:ascii="Times New Roman" w:hAnsi="Times New Roman"/>
          <w:color w:val="auto"/>
          <w:sz w:val="24"/>
          <w:szCs w:val="24"/>
          <w:highlight w:val="none"/>
        </w:rPr>
        <w:t>文件由供应商自行编写。</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17.竞争性磋商保证金</w:t>
      </w:r>
    </w:p>
    <w:p>
      <w:pPr>
        <w:autoSpaceDE w:val="0"/>
        <w:autoSpaceDN w:val="0"/>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highlight w:val="none"/>
        </w:rPr>
        <w:t>17.1竞争性磋商</w:t>
      </w:r>
      <w:r>
        <w:rPr>
          <w:rFonts w:ascii="Times New Roman" w:hAnsi="Times New Roman"/>
          <w:color w:val="auto"/>
          <w:sz w:val="24"/>
          <w:szCs w:val="24"/>
          <w:highlight w:val="none"/>
        </w:rPr>
        <w:t>保证金是为了保护采购人和采购代理机构免遭因供应商的行为而蒙受损失，采购人和采购代理机构在因供应商的行为受到损害时可根据第17.4条的规定不予退还供应商的</w:t>
      </w:r>
      <w:r>
        <w:rPr>
          <w:rFonts w:ascii="Times New Roman" w:hAnsi="Times New Roman"/>
          <w:color w:val="auto"/>
          <w:sz w:val="24"/>
          <w:highlight w:val="none"/>
        </w:rPr>
        <w:t>竞争性磋商</w:t>
      </w:r>
      <w:r>
        <w:rPr>
          <w:rFonts w:ascii="Times New Roman" w:hAnsi="Times New Roman"/>
          <w:color w:val="auto"/>
          <w:sz w:val="24"/>
          <w:szCs w:val="24"/>
          <w:highlight w:val="none"/>
        </w:rPr>
        <w:t>保证金。</w:t>
      </w:r>
      <w:r>
        <w:rPr>
          <w:rFonts w:ascii="Times New Roman" w:hAnsi="Times New Roman"/>
          <w:color w:val="auto"/>
          <w:sz w:val="24"/>
          <w:highlight w:val="none"/>
        </w:rPr>
        <w:t>供应商必须以人民币为计量单位提交竞争性磋商文件规定数额的竞争性磋商保证金，并作为其报价的一部分。联合体磋商的，可以由联合体的一方或者共同提交竞争性磋商保证金，以一方名义提交竞争性磋商保证金的，对联合体各方均具有约束力。</w:t>
      </w:r>
    </w:p>
    <w:p>
      <w:pPr>
        <w:autoSpaceDE w:val="0"/>
        <w:autoSpaceDN w:val="0"/>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 xml:space="preserve">17.2 </w:t>
      </w:r>
      <w:r>
        <w:rPr>
          <w:rFonts w:ascii="Times New Roman" w:hAnsi="Times New Roman"/>
          <w:color w:val="auto"/>
          <w:sz w:val="24"/>
          <w:highlight w:val="none"/>
        </w:rPr>
        <w:t>未按竞争性磋商文件要求在规定时间前交纳规定数额竞争性磋商保证金的响应文件无效。</w:t>
      </w:r>
    </w:p>
    <w:p>
      <w:pPr>
        <w:autoSpaceDE w:val="0"/>
        <w:autoSpaceDN w:val="0"/>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17.3 未成交供应商的</w:t>
      </w:r>
      <w:r>
        <w:rPr>
          <w:rFonts w:ascii="Times New Roman" w:hAnsi="Times New Roman"/>
          <w:color w:val="auto"/>
          <w:sz w:val="24"/>
          <w:highlight w:val="none"/>
        </w:rPr>
        <w:t>竞争性磋商</w:t>
      </w:r>
      <w:r>
        <w:rPr>
          <w:rFonts w:ascii="Times New Roman" w:hAnsi="Times New Roman"/>
          <w:color w:val="auto"/>
          <w:sz w:val="24"/>
          <w:szCs w:val="24"/>
          <w:highlight w:val="none"/>
        </w:rPr>
        <w:t>保证金，将在成交通知书发出后五个工作日内全额退还。成交供应商的</w:t>
      </w:r>
      <w:r>
        <w:rPr>
          <w:rFonts w:ascii="Times New Roman" w:hAnsi="Times New Roman"/>
          <w:color w:val="auto"/>
          <w:sz w:val="24"/>
          <w:highlight w:val="none"/>
        </w:rPr>
        <w:t>竞争性磋商</w:t>
      </w:r>
      <w:r>
        <w:rPr>
          <w:rFonts w:ascii="Times New Roman" w:hAnsi="Times New Roman"/>
          <w:color w:val="auto"/>
          <w:sz w:val="24"/>
          <w:szCs w:val="24"/>
          <w:highlight w:val="none"/>
        </w:rPr>
        <w:t>保证金，在合同签订生效后并按</w:t>
      </w:r>
      <w:r>
        <w:rPr>
          <w:rFonts w:ascii="Times New Roman" w:hAnsi="Times New Roman"/>
          <w:color w:val="auto"/>
          <w:sz w:val="24"/>
          <w:highlight w:val="none"/>
        </w:rPr>
        <w:t>竞争性磋商</w:t>
      </w:r>
      <w:r>
        <w:rPr>
          <w:rFonts w:ascii="Times New Roman" w:hAnsi="Times New Roman"/>
          <w:color w:val="auto"/>
          <w:sz w:val="24"/>
          <w:szCs w:val="24"/>
          <w:highlight w:val="none"/>
        </w:rPr>
        <w:t>文件规定缴纳了履约保证金后五个工作日内全额退还。</w:t>
      </w:r>
      <w:r>
        <w:rPr>
          <w:rFonts w:ascii="Times New Roman" w:hAnsi="Times New Roman"/>
          <w:color w:val="auto"/>
          <w:sz w:val="24"/>
          <w:highlight w:val="none"/>
        </w:rPr>
        <w:t>（注：</w:t>
      </w:r>
      <w:r>
        <w:rPr>
          <w:rFonts w:hint="eastAsia" w:hAnsi="宋体" w:cs="宋体"/>
          <w:color w:val="auto"/>
          <w:sz w:val="24"/>
          <w:highlight w:val="none"/>
        </w:rPr>
        <w:t>①</w:t>
      </w:r>
      <w:r>
        <w:rPr>
          <w:rFonts w:ascii="Times New Roman" w:hAnsi="Times New Roman"/>
          <w:color w:val="auto"/>
          <w:sz w:val="24"/>
          <w:highlight w:val="none"/>
        </w:rPr>
        <w:t>因供应商自身原因造成的保证金延迟退还，采购代理机构不承担相应责任；</w:t>
      </w:r>
      <w:r>
        <w:rPr>
          <w:rFonts w:hint="eastAsia" w:hAnsi="宋体" w:cs="宋体"/>
          <w:color w:val="auto"/>
          <w:sz w:val="24"/>
          <w:highlight w:val="none"/>
        </w:rPr>
        <w:t>②</w:t>
      </w:r>
      <w:r>
        <w:rPr>
          <w:rFonts w:ascii="Times New Roman" w:hAnsi="Times New Roman"/>
          <w:color w:val="auto"/>
          <w:sz w:val="24"/>
          <w:highlight w:val="none"/>
        </w:rPr>
        <w:t>供应商因涉嫌违法违规，按照规定应当不予退还保证金的，有关部门处理认定违法违规行为期间不计入退还保证金期限内。）</w:t>
      </w:r>
    </w:p>
    <w:p>
      <w:pPr>
        <w:autoSpaceDE w:val="0"/>
        <w:autoSpaceDN w:val="0"/>
        <w:adjustRightInd w:val="0"/>
        <w:snapToGrid w:val="0"/>
        <w:spacing w:line="360" w:lineRule="auto"/>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17.4 下列任何情况发生时，</w:t>
      </w:r>
      <w:r>
        <w:rPr>
          <w:rFonts w:ascii="Times New Roman" w:hAnsi="Times New Roman"/>
          <w:color w:val="auto"/>
          <w:sz w:val="24"/>
          <w:highlight w:val="none"/>
        </w:rPr>
        <w:t>竞争性磋商</w:t>
      </w:r>
      <w:r>
        <w:rPr>
          <w:rFonts w:ascii="Times New Roman" w:hAnsi="Times New Roman"/>
          <w:color w:val="auto"/>
          <w:sz w:val="24"/>
          <w:szCs w:val="24"/>
          <w:highlight w:val="none"/>
        </w:rPr>
        <w:t>保证金将被不予退还：</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（一）在竞争性磋商文件规定的递交响应文件截止时间后撤销响应文件的；</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（二）在采购人确定成交供应商之前放弃成交候选资格的；</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（三）成交后放弃、不领取或者不接收成交通知书的；</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（四）由于成交供应商的原因未能按照竞争性磋商文件的规定与采购人签订合同的（经整改符合要求的除外）；</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（五）由于成交供应商的原因未能按照竞争性磋商文件的规定交纳履约保证金的；（如有）</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（六）供应商在采购活动中提供虚假材料的；</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（七）报价有效期内，供应商在本项目采购活动中有违法、违规、违纪行为；</w:t>
      </w:r>
    </w:p>
    <w:p>
      <w:pPr>
        <w:pStyle w:val="222"/>
        <w:adjustRightInd w:val="0"/>
        <w:snapToGrid w:val="0"/>
        <w:spacing w:line="360" w:lineRule="auto"/>
        <w:ind w:firstLine="480" w:firstLineChars="200"/>
        <w:rPr>
          <w:rFonts w:ascii="Times New Roman" w:hAnsi="Times New Roman"/>
          <w:color w:val="auto"/>
          <w:highlight w:val="none"/>
        </w:rPr>
      </w:pPr>
      <w:r>
        <w:rPr>
          <w:rFonts w:ascii="Times New Roman" w:hAnsi="Times New Roman"/>
          <w:color w:val="auto"/>
          <w:highlight w:val="none"/>
        </w:rPr>
        <w:t>（八）国家法律法规、其它规定或竞争性磋商文件规定的不予退还保证金的其它规定。</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18.报价有效期：</w:t>
      </w:r>
    </w:p>
    <w:p>
      <w:pPr>
        <w:tabs>
          <w:tab w:val="left" w:pos="7665"/>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szCs w:val="24"/>
          <w:highlight w:val="none"/>
        </w:rPr>
        <w:t>18.1 自报价截止之日90日。</w:t>
      </w:r>
      <w:r>
        <w:rPr>
          <w:rFonts w:ascii="Times New Roman" w:hAnsi="Times New Roman"/>
          <w:color w:val="auto"/>
          <w:sz w:val="24"/>
          <w:highlight w:val="none"/>
        </w:rPr>
        <w:t>供应商响应文件中必须载明报价有效期，响应文件中载明的报价有效期可以长于竞争性磋商文件规定的期限，但不得短于竞争性磋商文件规定的期限。否则，其响应文件将作为无效处理。</w:t>
      </w:r>
    </w:p>
    <w:p>
      <w:pPr>
        <w:tabs>
          <w:tab w:val="left" w:pos="7665"/>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18.2 因不可抗力事件或采购人采购需求做出必要调整时，采购人可于报价有效期届满之前与供应商协商延长报价有效期。供应商拒绝延长报价有效期的，不得再参与该项目后续采购活动，但由此给供应商造成的损失，采购人可以自主决定是否可以给予适当补偿。供应商同意延长报价有效期的，不能修改响应文件。 </w:t>
      </w:r>
    </w:p>
    <w:p>
      <w:pPr>
        <w:adjustRightInd w:val="0"/>
        <w:snapToGrid w:val="0"/>
        <w:spacing w:line="360" w:lineRule="auto"/>
        <w:ind w:firstLine="482" w:firstLineChars="200"/>
        <w:outlineLvl w:val="2"/>
        <w:rPr>
          <w:rFonts w:ascii="Times New Roman" w:hAnsi="Times New Roman"/>
          <w:b/>
          <w:bCs/>
          <w:color w:val="auto"/>
          <w:sz w:val="24"/>
          <w:highlight w:val="none"/>
        </w:rPr>
      </w:pPr>
      <w:bookmarkStart w:id="37" w:name="_Toc217446052"/>
      <w:bookmarkStart w:id="38" w:name="_Toc183582225"/>
      <w:bookmarkStart w:id="39" w:name="_Toc183682362"/>
      <w:bookmarkStart w:id="40" w:name="_Toc308164802"/>
      <w:r>
        <w:rPr>
          <w:rFonts w:ascii="Times New Roman" w:hAnsi="Times New Roman"/>
          <w:b/>
          <w:bCs/>
          <w:color w:val="auto"/>
          <w:sz w:val="24"/>
          <w:highlight w:val="none"/>
        </w:rPr>
        <w:t>19．响应文件的印制和签署</w:t>
      </w:r>
      <w:bookmarkEnd w:id="37"/>
      <w:bookmarkEnd w:id="38"/>
      <w:bookmarkEnd w:id="39"/>
      <w:bookmarkEnd w:id="40"/>
    </w:p>
    <w:p>
      <w:pPr>
        <w:tabs>
          <w:tab w:val="left" w:pos="1080"/>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19.1 供应商应准备响应文件正本1份、副本3份</w:t>
      </w:r>
      <w:r>
        <w:rPr>
          <w:rFonts w:ascii="Times New Roman" w:hAnsi="Times New Roman"/>
          <w:color w:val="auto"/>
          <w:sz w:val="24"/>
          <w:szCs w:val="24"/>
          <w:highlight w:val="none"/>
        </w:rPr>
        <w:t>。</w:t>
      </w:r>
      <w:r>
        <w:rPr>
          <w:rFonts w:ascii="Times New Roman" w:hAnsi="Times New Roman"/>
          <w:color w:val="auto"/>
          <w:sz w:val="24"/>
          <w:highlight w:val="none"/>
        </w:rPr>
        <w:t>响应文件的正本和副本应在其封面右上角清楚地标明“正本”或“副本”字样。若正本和副本有不一致的内容，以正本书面响应文件为准。</w:t>
      </w:r>
    </w:p>
    <w:p>
      <w:pPr>
        <w:tabs>
          <w:tab w:val="left" w:pos="1095"/>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19.2 响应文件的正本和副本均需打印或用不褪色、不变质的墨水书写，并由供应商的法定代表人或其授权代表在规定签署处签字或签章</w:t>
      </w:r>
      <w:r>
        <w:rPr>
          <w:rFonts w:ascii="Times New Roman" w:hAnsi="Times New Roman"/>
          <w:color w:val="auto"/>
          <w:sz w:val="24"/>
          <w:highlight w:val="none"/>
          <w:lang w:val="zh-CN"/>
        </w:rPr>
        <w:t>（法人代表</w:t>
      </w:r>
      <w:r>
        <w:rPr>
          <w:rFonts w:ascii="Times New Roman" w:hAnsi="Times New Roman"/>
          <w:color w:val="auto"/>
          <w:sz w:val="24"/>
          <w:highlight w:val="none"/>
        </w:rPr>
        <w:t>或其授权代表</w:t>
      </w:r>
      <w:r>
        <w:rPr>
          <w:rFonts w:ascii="Times New Roman" w:hAnsi="Times New Roman"/>
          <w:color w:val="auto"/>
          <w:sz w:val="24"/>
          <w:highlight w:val="none"/>
          <w:lang w:val="zh-CN"/>
        </w:rPr>
        <w:t>的签字可用具有法定效力的签字章）</w:t>
      </w:r>
      <w:r>
        <w:rPr>
          <w:rFonts w:ascii="Times New Roman" w:hAnsi="Times New Roman"/>
          <w:color w:val="auto"/>
          <w:sz w:val="24"/>
          <w:highlight w:val="none"/>
        </w:rPr>
        <w:t>。响应文件副本可采用正本的复印件。</w:t>
      </w:r>
    </w:p>
    <w:p>
      <w:pPr>
        <w:tabs>
          <w:tab w:val="left" w:pos="1095"/>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19.3 响应文件的打印和书写应清楚工整，任何行间插字、涂改或增删，必须由供应商的法定代表人或其授权代表签字或签章。</w:t>
      </w:r>
    </w:p>
    <w:p>
      <w:pPr>
        <w:tabs>
          <w:tab w:val="left" w:pos="1080"/>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19.4 响应文件正本和副本应当采取胶装方式装订成册，不得散装或者合页装订。</w:t>
      </w:r>
    </w:p>
    <w:p>
      <w:pPr>
        <w:tabs>
          <w:tab w:val="left" w:pos="1080"/>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19.5 响应文件应根据竞争性磋商文件的要求制作，签署、盖章</w:t>
      </w:r>
      <w:r>
        <w:rPr>
          <w:rFonts w:ascii="Times New Roman" w:hAnsi="Times New Roman"/>
          <w:b/>
          <w:bCs/>
          <w:color w:val="auto"/>
          <w:sz w:val="24"/>
          <w:highlight w:val="none"/>
        </w:rPr>
        <w:t>（签署、盖章为实质性要求</w:t>
      </w:r>
      <w:r>
        <w:rPr>
          <w:rFonts w:hint="eastAsia" w:ascii="Times New Roman" w:hAnsi="Times New Roman"/>
          <w:b/>
          <w:bCs/>
          <w:color w:val="auto"/>
          <w:sz w:val="24"/>
          <w:highlight w:val="none"/>
          <w:lang w:eastAsia="zh-CN"/>
        </w:rPr>
        <w:t>，</w:t>
      </w:r>
      <w:r>
        <w:rPr>
          <w:rFonts w:hint="eastAsia"/>
          <w:b/>
          <w:bCs/>
          <w:sz w:val="24"/>
          <w:highlight w:val="none"/>
          <w:lang w:eastAsia="zh-CN"/>
        </w:rPr>
        <w:t>所有要求盖章的地方都应加盖供应商单位公章（鲜章），不得使用专用印章（如经济合同章、投标专用章等）或下属单位印章代替。</w:t>
      </w:r>
      <w:r>
        <w:rPr>
          <w:rFonts w:ascii="Times New Roman" w:hAnsi="Times New Roman"/>
          <w:b/>
          <w:bCs/>
          <w:color w:val="auto"/>
          <w:sz w:val="24"/>
          <w:highlight w:val="none"/>
        </w:rPr>
        <w:t>）</w:t>
      </w:r>
      <w:r>
        <w:rPr>
          <w:rFonts w:ascii="Times New Roman" w:hAnsi="Times New Roman"/>
          <w:color w:val="auto"/>
          <w:sz w:val="24"/>
          <w:highlight w:val="none"/>
        </w:rPr>
        <w:t>。</w:t>
      </w:r>
    </w:p>
    <w:p>
      <w:pPr>
        <w:pStyle w:val="25"/>
        <w:adjustRightInd w:val="0"/>
        <w:snapToGrid w:val="0"/>
        <w:ind w:firstLine="480" w:firstLineChars="200"/>
        <w:rPr>
          <w:rFonts w:ascii="Times New Roman" w:hAnsi="Times New Roman"/>
          <w:color w:val="auto"/>
          <w:highlight w:val="none"/>
        </w:rPr>
      </w:pPr>
      <w:r>
        <w:rPr>
          <w:rFonts w:ascii="Times New Roman" w:hAnsi="Times New Roman"/>
          <w:color w:val="auto"/>
          <w:highlight w:val="none"/>
        </w:rPr>
        <w:t>19.6 响应文件统一用A4幅面纸印制（如图纸等采用A4幅面纸影响阅读的，可采用其它幅面），逐页编码。</w:t>
      </w:r>
    </w:p>
    <w:p>
      <w:pPr>
        <w:adjustRightInd w:val="0"/>
        <w:snapToGrid w:val="0"/>
        <w:spacing w:line="360" w:lineRule="auto"/>
        <w:ind w:firstLine="482" w:firstLineChars="200"/>
        <w:outlineLvl w:val="2"/>
        <w:rPr>
          <w:rFonts w:ascii="Times New Roman" w:hAnsi="Times New Roman"/>
          <w:color w:val="auto"/>
          <w:sz w:val="24"/>
          <w:highlight w:val="none"/>
        </w:rPr>
      </w:pPr>
      <w:bookmarkStart w:id="41" w:name="_Toc183682363"/>
      <w:bookmarkStart w:id="42" w:name="_Toc89075877"/>
      <w:bookmarkStart w:id="43" w:name="_Toc77400781"/>
      <w:bookmarkStart w:id="44" w:name="_Toc183582226"/>
      <w:bookmarkStart w:id="45" w:name="_Toc308164803"/>
      <w:bookmarkStart w:id="46" w:name="_Toc217446053"/>
      <w:r>
        <w:rPr>
          <w:rFonts w:ascii="Times New Roman" w:hAnsi="Times New Roman"/>
          <w:b/>
          <w:bCs/>
          <w:color w:val="auto"/>
          <w:sz w:val="24"/>
          <w:highlight w:val="none"/>
        </w:rPr>
        <w:t>20.响应文件的密封和标</w:t>
      </w:r>
      <w:bookmarkEnd w:id="41"/>
      <w:bookmarkEnd w:id="42"/>
      <w:bookmarkEnd w:id="43"/>
      <w:bookmarkEnd w:id="44"/>
      <w:r>
        <w:rPr>
          <w:rFonts w:ascii="Times New Roman" w:hAnsi="Times New Roman"/>
          <w:b/>
          <w:bCs/>
          <w:color w:val="auto"/>
          <w:sz w:val="24"/>
          <w:highlight w:val="none"/>
        </w:rPr>
        <w:t>注</w:t>
      </w:r>
      <w:bookmarkEnd w:id="45"/>
      <w:bookmarkEnd w:id="46"/>
      <w:r>
        <w:rPr>
          <w:rFonts w:ascii="Times New Roman" w:hAnsi="Times New Roman"/>
          <w:color w:val="auto"/>
          <w:sz w:val="24"/>
          <w:highlight w:val="none"/>
        </w:rPr>
        <w:t>（不属于本项目磋商小组评审范畴，由采购人、采购代理机构在接收响应文件时及时处理）</w:t>
      </w:r>
    </w:p>
    <w:p>
      <w:pPr>
        <w:tabs>
          <w:tab w:val="left" w:pos="1080"/>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20.1供应商应在响应文件正本和所有副本的封面上注明供应商名称、项目编号、项目名称及分包号（如有分包）。</w:t>
      </w:r>
    </w:p>
    <w:p>
      <w:pPr>
        <w:tabs>
          <w:tab w:val="left" w:pos="1080"/>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20.2 响应文件包括正本、副本应当分别密封并注明。响应文件的密封袋上还应当注明供应商名称、项目编号、项目名称及分包号（如有分包）。</w:t>
      </w:r>
    </w:p>
    <w:p>
      <w:pPr>
        <w:tabs>
          <w:tab w:val="left" w:pos="1080"/>
        </w:tabs>
        <w:adjustRightInd w:val="0"/>
        <w:snapToGrid w:val="0"/>
        <w:spacing w:line="360" w:lineRule="auto"/>
        <w:ind w:firstLine="480" w:firstLineChars="200"/>
        <w:rPr>
          <w:rFonts w:ascii="Times New Roman" w:hAnsi="Times New Roman"/>
          <w:color w:val="auto"/>
          <w:sz w:val="24"/>
          <w:szCs w:val="24"/>
          <w:highlight w:val="none"/>
          <w:lang w:val="zh-CN"/>
        </w:rPr>
      </w:pPr>
      <w:r>
        <w:rPr>
          <w:rFonts w:ascii="Times New Roman" w:hAnsi="Times New Roman"/>
          <w:color w:val="auto"/>
          <w:sz w:val="24"/>
          <w:highlight w:val="none"/>
        </w:rPr>
        <w:t>20.3未所有外层密封袋的封口处应粘贴牢固。</w:t>
      </w:r>
    </w:p>
    <w:p>
      <w:pPr>
        <w:tabs>
          <w:tab w:val="left" w:pos="1080"/>
        </w:tabs>
        <w:adjustRightInd w:val="0"/>
        <w:snapToGrid w:val="0"/>
        <w:spacing w:line="360" w:lineRule="auto"/>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lang w:val="zh-CN"/>
        </w:rPr>
        <w:t>20.4</w:t>
      </w:r>
      <w:r>
        <w:rPr>
          <w:rFonts w:ascii="Times New Roman" w:hAnsi="Times New Roman"/>
          <w:color w:val="auto"/>
          <w:sz w:val="24"/>
          <w:highlight w:val="none"/>
        </w:rPr>
        <w:t>未按以上要求进行密封和标注的响应文件，采购人、采购代理机构有权拒收或者在时间允许的范围内，要求修改完善后接收。</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21.响应文件的递交</w:t>
      </w:r>
    </w:p>
    <w:p>
      <w:pPr>
        <w:tabs>
          <w:tab w:val="left" w:pos="1080"/>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21.1 响应文件应于递交响应文件截止时间前送达指定地点，采购代理机构拒绝接收截止时间后送达的响应文件。</w:t>
      </w:r>
    </w:p>
    <w:p>
      <w:pPr>
        <w:tabs>
          <w:tab w:val="left" w:pos="1080"/>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21.2 采购代理机构将向通过资格审查/符合性审查的供应商发出磋商邀请；告知未通过资格审查/符合性审查的供应商未通过的原因。</w:t>
      </w:r>
    </w:p>
    <w:p>
      <w:pPr>
        <w:tabs>
          <w:tab w:val="left" w:pos="1095"/>
        </w:tabs>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21.3 最后报价一览表在磋商后，竞争性磋商磋商小组要求供应商进行最后报价时递交。</w:t>
      </w:r>
    </w:p>
    <w:p>
      <w:pPr>
        <w:tabs>
          <w:tab w:val="left" w:pos="1095"/>
        </w:tabs>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highlight w:val="none"/>
        </w:rPr>
        <w:t>21.4本次磋商不接收邮寄的响应文件。</w:t>
      </w:r>
    </w:p>
    <w:p>
      <w:pPr>
        <w:adjustRightInd w:val="0"/>
        <w:snapToGrid w:val="0"/>
        <w:spacing w:line="360" w:lineRule="auto"/>
        <w:ind w:firstLine="482" w:firstLineChars="200"/>
        <w:jc w:val="left"/>
        <w:outlineLvl w:val="2"/>
        <w:rPr>
          <w:rFonts w:ascii="Times New Roman" w:hAnsi="Times New Roman"/>
          <w:b/>
          <w:bCs/>
          <w:color w:val="auto"/>
          <w:sz w:val="24"/>
          <w:highlight w:val="none"/>
        </w:rPr>
      </w:pPr>
      <w:bookmarkStart w:id="47" w:name="_Toc183582228"/>
      <w:bookmarkStart w:id="48" w:name="_Toc183682365"/>
      <w:bookmarkStart w:id="49" w:name="_Toc217446055"/>
      <w:r>
        <w:rPr>
          <w:rFonts w:ascii="Times New Roman" w:hAnsi="Times New Roman"/>
          <w:b/>
          <w:bCs/>
          <w:color w:val="auto"/>
          <w:sz w:val="24"/>
          <w:highlight w:val="none"/>
        </w:rPr>
        <w:t>22．响应文件的修改和撤</w:t>
      </w:r>
      <w:bookmarkEnd w:id="47"/>
      <w:bookmarkEnd w:id="48"/>
      <w:r>
        <w:rPr>
          <w:rFonts w:ascii="Times New Roman" w:hAnsi="Times New Roman"/>
          <w:b/>
          <w:bCs/>
          <w:color w:val="auto"/>
          <w:sz w:val="24"/>
          <w:highlight w:val="none"/>
        </w:rPr>
        <w:t>回</w:t>
      </w:r>
      <w:bookmarkEnd w:id="49"/>
    </w:p>
    <w:p>
      <w:pPr>
        <w:pStyle w:val="6"/>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22.2供应商对响应文件修改的书面材料或撤回的通知应该按规定进行编写、密封、标注和递送，并注明“修改响应文件/撤回响应文件字样”字样。</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22.3供应商不得在递交截止时间起至响应文件有效期期满前撤销其响应文件。否则其竞争性磋商保证金将按竞争性磋商文件“二、总则”中第17条的相关规定被没收。</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22.4 响应文件中报价如果出现下列不一致的，可按以下原则进行修改：</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（1）大写金额和小写金额不一致的，以大写金额为准，但大写金额文字存在错误的，应当先对大写金额的文字错误进行澄清、说明或者更正，再行修正。</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（2）总价金额与按单价汇总金额不一致的，以单价金额计算结果为准，但单价或者单价汇总金额存在数字或者文字错误的，应当先对数字或者文字错误进行澄清、说明或者更正，再行修正。</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（3）单价金额小数点或者百分比有明显错位的，以总价为准，修正单价。</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adjustRightInd w:val="0"/>
        <w:snapToGrid w:val="0"/>
        <w:spacing w:line="360" w:lineRule="auto"/>
        <w:ind w:firstLine="480" w:firstLineChars="200"/>
        <w:rPr>
          <w:rFonts w:ascii="Times New Roman" w:hAnsi="Times New Roman"/>
          <w:b/>
          <w:bCs/>
          <w:color w:val="auto"/>
          <w:sz w:val="24"/>
          <w:szCs w:val="24"/>
          <w:highlight w:val="none"/>
        </w:rPr>
      </w:pPr>
      <w:r>
        <w:rPr>
          <w:rFonts w:ascii="Times New Roman" w:hAnsi="Times New Roman"/>
          <w:color w:val="auto"/>
          <w:sz w:val="24"/>
          <w:highlight w:val="none"/>
        </w:rPr>
        <w:t>22.5供应商对其提交的响应文件的真实性、合法性承担法律责任。</w:t>
      </w:r>
    </w:p>
    <w:p>
      <w:pPr>
        <w:numPr>
          <w:ilvl w:val="0"/>
          <w:numId w:val="15"/>
        </w:numPr>
        <w:spacing w:line="360" w:lineRule="auto"/>
        <w:ind w:firstLine="560" w:firstLineChars="200"/>
        <w:jc w:val="center"/>
        <w:rPr>
          <w:rFonts w:ascii="Times New Roman" w:hAnsi="Times New Roman"/>
          <w:color w:val="auto"/>
          <w:sz w:val="28"/>
          <w:szCs w:val="28"/>
          <w:highlight w:val="none"/>
        </w:rPr>
      </w:pPr>
      <w:bookmarkStart w:id="50" w:name="_Toc3298123"/>
      <w:r>
        <w:rPr>
          <w:rFonts w:ascii="Times New Roman" w:hAnsi="Times New Roman"/>
          <w:color w:val="auto"/>
          <w:sz w:val="28"/>
          <w:szCs w:val="28"/>
          <w:highlight w:val="none"/>
        </w:rPr>
        <w:t>成交事项</w:t>
      </w:r>
      <w:bookmarkEnd w:id="50"/>
    </w:p>
    <w:p>
      <w:pPr>
        <w:adjustRightInd w:val="0"/>
        <w:snapToGrid w:val="0"/>
        <w:spacing w:line="360" w:lineRule="auto"/>
        <w:ind w:firstLine="482" w:firstLineChars="200"/>
        <w:jc w:val="left"/>
        <w:outlineLvl w:val="2"/>
        <w:rPr>
          <w:rFonts w:ascii="Times New Roman" w:hAnsi="Times New Roman"/>
          <w:b/>
          <w:bCs/>
          <w:color w:val="auto"/>
          <w:sz w:val="24"/>
          <w:highlight w:val="none"/>
        </w:rPr>
      </w:pPr>
      <w:r>
        <w:rPr>
          <w:rFonts w:ascii="Times New Roman" w:hAnsi="Times New Roman"/>
          <w:b/>
          <w:bCs/>
          <w:color w:val="auto"/>
          <w:sz w:val="24"/>
          <w:highlight w:val="none"/>
        </w:rPr>
        <w:t>23.确定成交供应商</w:t>
      </w:r>
    </w:p>
    <w:p>
      <w:pPr>
        <w:tabs>
          <w:tab w:val="left" w:pos="0"/>
          <w:tab w:val="left" w:pos="1080"/>
        </w:tabs>
        <w:spacing w:line="360" w:lineRule="auto"/>
        <w:ind w:firstLine="480" w:firstLineChars="200"/>
        <w:rPr>
          <w:rFonts w:ascii="Times New Roman" w:hAnsi="Times New Roman"/>
          <w:color w:val="auto"/>
          <w:sz w:val="24"/>
          <w:szCs w:val="24"/>
          <w:highlight w:val="none"/>
        </w:rPr>
      </w:pPr>
      <w:bookmarkStart w:id="51" w:name="_Toc3298133"/>
      <w:r>
        <w:rPr>
          <w:rFonts w:ascii="Times New Roman" w:hAnsi="Times New Roman"/>
          <w:color w:val="auto"/>
          <w:sz w:val="24"/>
          <w:szCs w:val="24"/>
          <w:highlight w:val="none"/>
        </w:rPr>
        <w:t>方式一：采购人将按</w:t>
      </w:r>
      <w:r>
        <w:rPr>
          <w:rFonts w:ascii="Times New Roman" w:hAnsi="Times New Roman"/>
          <w:color w:val="auto"/>
          <w:sz w:val="24"/>
          <w:highlight w:val="none"/>
        </w:rPr>
        <w:t>竞争性磋商</w:t>
      </w:r>
      <w:r>
        <w:rPr>
          <w:rFonts w:ascii="Times New Roman" w:hAnsi="Times New Roman"/>
          <w:color w:val="auto"/>
          <w:sz w:val="24"/>
          <w:szCs w:val="24"/>
          <w:highlight w:val="none"/>
        </w:rPr>
        <w:t>小组推荐的成交候选供应商顺序确定成交供应商。</w:t>
      </w:r>
    </w:p>
    <w:p>
      <w:pPr>
        <w:pStyle w:val="2"/>
        <w:rPr>
          <w:rFonts w:ascii="Times New Roman"/>
          <w:color w:val="auto"/>
          <w:highlight w:val="none"/>
        </w:rPr>
      </w:pPr>
      <w:r>
        <w:rPr>
          <w:rFonts w:ascii="Times New Roman"/>
          <w:color w:val="auto"/>
          <w:sz w:val="24"/>
          <w:szCs w:val="24"/>
          <w:highlight w:val="none"/>
        </w:rPr>
        <w:t xml:space="preserve">    方式二：采购人授权</w:t>
      </w:r>
      <w:r>
        <w:rPr>
          <w:rFonts w:ascii="Times New Roman"/>
          <w:color w:val="auto"/>
          <w:sz w:val="24"/>
          <w:highlight w:val="none"/>
        </w:rPr>
        <w:t>竞争性磋商</w:t>
      </w:r>
      <w:r>
        <w:rPr>
          <w:rFonts w:ascii="Times New Roman"/>
          <w:color w:val="auto"/>
          <w:sz w:val="24"/>
          <w:szCs w:val="24"/>
          <w:highlight w:val="none"/>
        </w:rPr>
        <w:t>小组根据供应商最终排名直接确定</w:t>
      </w:r>
      <w:r>
        <w:rPr>
          <w:rFonts w:hint="eastAsia" w:ascii="Times New Roman"/>
          <w:color w:val="auto"/>
          <w:sz w:val="24"/>
          <w:szCs w:val="24"/>
          <w:highlight w:val="none"/>
          <w:lang w:val="en-US" w:eastAsia="zh-CN"/>
        </w:rPr>
        <w:t>成交</w:t>
      </w:r>
      <w:r>
        <w:rPr>
          <w:rFonts w:ascii="Times New Roman"/>
          <w:color w:val="auto"/>
          <w:sz w:val="24"/>
          <w:szCs w:val="24"/>
          <w:highlight w:val="none"/>
        </w:rPr>
        <w:t>供应商。</w:t>
      </w:r>
    </w:p>
    <w:p>
      <w:pPr>
        <w:adjustRightInd w:val="0"/>
        <w:snapToGrid w:val="0"/>
        <w:spacing w:line="360" w:lineRule="auto"/>
        <w:ind w:firstLine="480" w:firstLineChars="200"/>
        <w:rPr>
          <w:rFonts w:ascii="Times New Roman" w:hAnsi="Times New Roman"/>
          <w:color w:val="auto"/>
          <w:highlight w:val="none"/>
        </w:rPr>
      </w:pPr>
      <w:r>
        <w:rPr>
          <w:rFonts w:ascii="Times New Roman" w:hAnsi="Times New Roman"/>
          <w:color w:val="auto"/>
          <w:sz w:val="24"/>
          <w:szCs w:val="24"/>
          <w:highlight w:val="none"/>
        </w:rPr>
        <w:t>本项目采用方式</w:t>
      </w:r>
      <w:r>
        <w:rPr>
          <w:rFonts w:hint="eastAsia" w:ascii="Times New Roman" w:hAnsi="Times New Roman"/>
          <w:color w:val="auto"/>
          <w:sz w:val="24"/>
          <w:szCs w:val="24"/>
          <w:highlight w:val="none"/>
          <w:lang w:val="en-US" w:eastAsia="zh-CN"/>
        </w:rPr>
        <w:t>二</w:t>
      </w:r>
      <w:r>
        <w:rPr>
          <w:rFonts w:ascii="Times New Roman" w:hAnsi="Times New Roman"/>
          <w:color w:val="auto"/>
          <w:sz w:val="24"/>
          <w:szCs w:val="24"/>
          <w:highlight w:val="none"/>
        </w:rPr>
        <w:t>确定成交供应商。</w:t>
      </w:r>
    </w:p>
    <w:p>
      <w:pPr>
        <w:tabs>
          <w:tab w:val="left" w:pos="2520"/>
        </w:tabs>
        <w:adjustRightInd w:val="0"/>
        <w:snapToGrid w:val="0"/>
        <w:spacing w:line="360" w:lineRule="auto"/>
        <w:ind w:firstLine="482" w:firstLineChars="200"/>
        <w:outlineLvl w:val="2"/>
        <w:rPr>
          <w:rFonts w:ascii="Times New Roman" w:hAnsi="Times New Roman"/>
          <w:b/>
          <w:bCs/>
          <w:color w:val="auto"/>
          <w:sz w:val="24"/>
          <w:szCs w:val="24"/>
          <w:highlight w:val="none"/>
        </w:rPr>
      </w:pPr>
      <w:r>
        <w:rPr>
          <w:rFonts w:ascii="Times New Roman" w:hAnsi="Times New Roman"/>
          <w:b/>
          <w:bCs/>
          <w:color w:val="auto"/>
          <w:sz w:val="24"/>
          <w:szCs w:val="24"/>
          <w:highlight w:val="none"/>
        </w:rPr>
        <w:t>24.成交结果</w:t>
      </w:r>
      <w:bookmarkEnd w:id="51"/>
      <w:r>
        <w:rPr>
          <w:rFonts w:ascii="Times New Roman" w:hAnsi="Times New Roman"/>
          <w:b/>
          <w:bCs/>
          <w:color w:val="auto"/>
          <w:sz w:val="24"/>
          <w:szCs w:val="24"/>
          <w:highlight w:val="none"/>
        </w:rPr>
        <w:tab/>
      </w:r>
    </w:p>
    <w:p>
      <w:pPr>
        <w:adjustRightInd w:val="0"/>
        <w:snapToGrid w:val="0"/>
        <w:spacing w:line="360" w:lineRule="auto"/>
        <w:ind w:firstLine="480" w:firstLineChars="200"/>
        <w:rPr>
          <w:rFonts w:ascii="Times New Roman" w:hAnsi="Times New Roman"/>
          <w:color w:val="auto"/>
          <w:sz w:val="24"/>
          <w:szCs w:val="24"/>
          <w:highlight w:val="none"/>
        </w:rPr>
      </w:pPr>
      <w:bookmarkStart w:id="52" w:name="_Toc3298134"/>
      <w:r>
        <w:rPr>
          <w:rFonts w:ascii="Times New Roman" w:hAnsi="Times New Roman"/>
          <w:color w:val="auto"/>
          <w:sz w:val="24"/>
          <w:szCs w:val="24"/>
          <w:highlight w:val="none"/>
        </w:rPr>
        <w:t>24.1采购人确定成交供应商后，将及时书面通知采购代理机构。</w:t>
      </w:r>
      <w:bookmarkEnd w:id="52"/>
      <w:r>
        <w:rPr>
          <w:rFonts w:ascii="Times New Roman" w:hAnsi="Times New Roman"/>
          <w:color w:val="auto"/>
          <w:sz w:val="24"/>
          <w:szCs w:val="24"/>
          <w:highlight w:val="none"/>
        </w:rPr>
        <w:t>采用公告邀请方式的采购项目，在</w:t>
      </w:r>
      <w:r>
        <w:rPr>
          <w:rFonts w:hint="eastAsia" w:ascii="Times New Roman" w:hAnsi="Times New Roman"/>
          <w:color w:val="auto"/>
          <w:sz w:val="24"/>
          <w:szCs w:val="24"/>
          <w:highlight w:val="none"/>
          <w:lang w:eastAsia="zh-CN"/>
        </w:rPr>
        <w:t>中国政府采购网</w:t>
      </w:r>
      <w:r>
        <w:rPr>
          <w:rFonts w:ascii="Times New Roman" w:hAnsi="Times New Roman"/>
          <w:color w:val="auto"/>
          <w:sz w:val="24"/>
          <w:szCs w:val="24"/>
          <w:highlight w:val="none"/>
        </w:rPr>
        <w:t>上发布成交结果公告并向成交人发出成交通知书。采用直接邀请方式的采购项目，向参与磋商的供应商发布成交结果通知函并向成交人发出成交通知书。</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24.2成交供应商应当及时领取成交通知书。本项目需要交纳履约保证金的，成交供应商应当及时向采购人交纳。</w:t>
      </w:r>
    </w:p>
    <w:p>
      <w:pPr>
        <w:adjustRightInd w:val="0"/>
        <w:snapToGrid w:val="0"/>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24.3成交供应商不能及时领取成交通知书，采购人或者采购代理机应当通过邮寄、快递、邮件等方式将项目成交通知书送达成交供应商。</w:t>
      </w:r>
    </w:p>
    <w:p>
      <w:pPr>
        <w:adjustRightInd w:val="0"/>
        <w:snapToGrid w:val="0"/>
        <w:spacing w:line="360" w:lineRule="auto"/>
        <w:ind w:firstLine="482" w:firstLineChars="200"/>
        <w:outlineLvl w:val="2"/>
        <w:rPr>
          <w:rFonts w:ascii="Times New Roman" w:hAnsi="Times New Roman"/>
          <w:b/>
          <w:bCs/>
          <w:color w:val="auto"/>
          <w:sz w:val="24"/>
          <w:szCs w:val="24"/>
          <w:highlight w:val="none"/>
        </w:rPr>
      </w:pPr>
      <w:bookmarkStart w:id="53" w:name="_Toc3298135"/>
      <w:r>
        <w:rPr>
          <w:rFonts w:ascii="Times New Roman" w:hAnsi="Times New Roman"/>
          <w:b/>
          <w:bCs/>
          <w:color w:val="auto"/>
          <w:sz w:val="24"/>
          <w:szCs w:val="24"/>
          <w:highlight w:val="none"/>
        </w:rPr>
        <w:t>25.成交通知书</w:t>
      </w:r>
      <w:bookmarkEnd w:id="53"/>
    </w:p>
    <w:p>
      <w:pPr>
        <w:adjustRightInd w:val="0"/>
        <w:snapToGrid w:val="0"/>
        <w:spacing w:line="360" w:lineRule="auto"/>
        <w:ind w:firstLine="480" w:firstLineChars="200"/>
        <w:rPr>
          <w:rFonts w:ascii="Times New Roman" w:hAnsi="Times New Roman"/>
          <w:color w:val="auto"/>
          <w:sz w:val="24"/>
          <w:szCs w:val="24"/>
          <w:highlight w:val="none"/>
        </w:rPr>
      </w:pPr>
      <w:bookmarkStart w:id="54" w:name="_Toc3298136"/>
      <w:r>
        <w:rPr>
          <w:rFonts w:ascii="Times New Roman" w:hAnsi="Times New Roman"/>
          <w:color w:val="auto"/>
          <w:sz w:val="24"/>
          <w:szCs w:val="24"/>
          <w:highlight w:val="none"/>
        </w:rPr>
        <w:t>25.1成交通知书为签订政府采购合同的依据之一，是合同的有效组成部分。</w:t>
      </w:r>
      <w:bookmarkEnd w:id="54"/>
    </w:p>
    <w:p>
      <w:pPr>
        <w:adjustRightInd w:val="0"/>
        <w:snapToGrid w:val="0"/>
        <w:spacing w:line="360" w:lineRule="auto"/>
        <w:ind w:firstLine="480" w:firstLineChars="200"/>
        <w:rPr>
          <w:rFonts w:ascii="Times New Roman" w:hAnsi="Times New Roman"/>
          <w:color w:val="auto"/>
          <w:sz w:val="24"/>
          <w:szCs w:val="24"/>
          <w:highlight w:val="none"/>
        </w:rPr>
      </w:pPr>
      <w:bookmarkStart w:id="55" w:name="_Toc3298137"/>
      <w:r>
        <w:rPr>
          <w:rFonts w:ascii="Times New Roman" w:hAnsi="Times New Roman"/>
          <w:color w:val="auto"/>
          <w:sz w:val="24"/>
          <w:szCs w:val="24"/>
          <w:highlight w:val="none"/>
        </w:rPr>
        <w:t>25.2成交通知书对采购人和成交供应商均具有法律效力。成交通知书发出后，采购人无正当理由改变成交结果，或者成交供应商无正当理由放弃成交的，将承担相应的法律责任。</w:t>
      </w:r>
      <w:bookmarkEnd w:id="55"/>
    </w:p>
    <w:p>
      <w:pPr>
        <w:adjustRightInd w:val="0"/>
        <w:snapToGrid w:val="0"/>
        <w:spacing w:line="360" w:lineRule="auto"/>
        <w:ind w:firstLine="480" w:firstLineChars="200"/>
        <w:rPr>
          <w:rFonts w:ascii="Times New Roman" w:hAnsi="Times New Roman"/>
          <w:color w:val="auto"/>
          <w:sz w:val="24"/>
          <w:highlight w:val="none"/>
        </w:rPr>
      </w:pPr>
      <w:bookmarkStart w:id="56" w:name="_Toc3298138"/>
      <w:r>
        <w:rPr>
          <w:rFonts w:ascii="Times New Roman" w:hAnsi="Times New Roman"/>
          <w:color w:val="auto"/>
          <w:sz w:val="24"/>
          <w:szCs w:val="24"/>
          <w:highlight w:val="none"/>
        </w:rPr>
        <w:t>25.3成交供应商的响应文件作为无效响应文件处理，采购代理机构在取得有权主体的认定以后，有权宣布发出的成交通知书无效，并收回发出的成交通知书，依法重新确定成交供应商或者重新开展采购活动。</w:t>
      </w:r>
      <w:bookmarkEnd w:id="56"/>
      <w:bookmarkStart w:id="57" w:name="_Toc308164811"/>
      <w:bookmarkStart w:id="58" w:name="_Toc217446065"/>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26. 签订合同</w:t>
      </w:r>
      <w:bookmarkEnd w:id="57"/>
      <w:bookmarkEnd w:id="58"/>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26.1 成交供应商应在成交通知书发出之日起30日内与采购人签订采购合同。由于成交供应商的原因逾期未与采购人签订采购合同的，将视为放弃成交，取消其成交资格并将按相关规定进行处理。</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26.2竞争性磋商文件、成交供应商的响应文件及双方确认的澄清文件等，均为有法律约束力的合同组成部分。采购人不得向成交供应商提出任何不合理的要求，作为签订合同的条件，不得与成交供应商私下订立背离合同实质性内容的任何协议，所签订的合同不得对竞争性磋商文件和成交供应商响应文件确定的事项进行修改。</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26.3 成交供应商因不可抗力原因不能履行采购合同或放弃成交的，采购人可以与排在成交供应商之后第一位的成交候选人签订采购合同，以此类推。</w:t>
      </w:r>
    </w:p>
    <w:p>
      <w:pPr>
        <w:pStyle w:val="2"/>
        <w:adjustRightInd w:val="0"/>
        <w:snapToGrid w:val="0"/>
        <w:spacing w:after="0" w:line="360" w:lineRule="auto"/>
        <w:ind w:firstLine="480" w:firstLineChars="200"/>
        <w:rPr>
          <w:rFonts w:ascii="Times New Roman"/>
          <w:color w:val="auto"/>
          <w:highlight w:val="none"/>
        </w:rPr>
      </w:pPr>
      <w:r>
        <w:rPr>
          <w:rFonts w:ascii="Times New Roman"/>
          <w:color w:val="auto"/>
          <w:sz w:val="24"/>
          <w:highlight w:val="none"/>
        </w:rPr>
        <w:t>26.4 成交供应商拒绝签订采购合同或者经院财务部认定成交结果无效的，单位可以从评审小组推荐的成交候选供应商中依次确定其他供应商作为成交供应商，也可以重新组织采购。重新组织采购活动的，拒绝签订采购合同的成交供应商不得参加对该项目重新开展的采购活动。</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26.5竞争性磋商文件、成交供应商提交的响应文件、磋商中的最后报价、成交供应商承诺书、成交通知书等均称为有法律约束力的合同组成内容。</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27. 合同分包</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27.1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分包但未在合同签订之前征得采购人同意的，视同拒绝履行采购合同义务，将依法追究法律责任。</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分包履行合同的部分应当为采购项目的非主体、非关键性工作，不属于成交供应商的主要合同义务。</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27.2 采购合同实行分包履行的，成交供应商就采购项目和分包项目向采购人负责，分包供应商就分包项目承担责任。</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27.3 中小企业依据《政府采购促进中小企业发展管理办法》（财库〔2020〕46号）规定的政策获取政府采购合同后，小型、微型企业不得分包或转包给大型、中型企业，中型企业不得分包或转包给大型企业。</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28.合同转包</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28.1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成交供应商转包的，视同拒绝履行采购合同义务，将依法追究法律责任。</w:t>
      </w:r>
    </w:p>
    <w:p>
      <w:pPr>
        <w:adjustRightInd w:val="0"/>
        <w:snapToGrid w:val="0"/>
        <w:spacing w:line="360" w:lineRule="auto"/>
        <w:ind w:firstLine="482" w:firstLineChars="200"/>
        <w:outlineLvl w:val="2"/>
        <w:rPr>
          <w:rFonts w:ascii="Times New Roman" w:hAnsi="Times New Roman"/>
          <w:b/>
          <w:bCs/>
          <w:color w:val="auto"/>
          <w:sz w:val="24"/>
          <w:highlight w:val="none"/>
        </w:rPr>
      </w:pPr>
      <w:bookmarkStart w:id="59" w:name="_Toc217446066"/>
      <w:r>
        <w:rPr>
          <w:rFonts w:ascii="Times New Roman" w:hAnsi="Times New Roman"/>
          <w:b/>
          <w:bCs/>
          <w:color w:val="auto"/>
          <w:sz w:val="24"/>
          <w:highlight w:val="none"/>
        </w:rPr>
        <w:t>29.</w:t>
      </w:r>
      <w:bookmarkEnd w:id="59"/>
      <w:r>
        <w:rPr>
          <w:rFonts w:ascii="Times New Roman" w:hAnsi="Times New Roman"/>
          <w:b/>
          <w:bCs/>
          <w:color w:val="auto"/>
          <w:sz w:val="24"/>
          <w:highlight w:val="none"/>
        </w:rPr>
        <w:t xml:space="preserve"> 补充合同</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29.1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p>
    <w:p>
      <w:pPr>
        <w:numPr>
          <w:ilvl w:val="0"/>
          <w:numId w:val="16"/>
        </w:num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履约保证金</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30.1 成交供应商应在合同签订之前交纳采购文件规定数额的履约保证金。</w:t>
      </w:r>
    </w:p>
    <w:p>
      <w:pPr>
        <w:adjustRightInd w:val="0"/>
        <w:snapToGrid w:val="0"/>
        <w:spacing w:line="360" w:lineRule="auto"/>
        <w:ind w:firstLine="480" w:firstLineChars="200"/>
        <w:rPr>
          <w:rFonts w:ascii="Times New Roman" w:hAnsi="Times New Roman"/>
          <w:b/>
          <w:color w:val="auto"/>
          <w:sz w:val="24"/>
          <w:szCs w:val="24"/>
          <w:highlight w:val="none"/>
        </w:rPr>
      </w:pPr>
      <w:r>
        <w:rPr>
          <w:rFonts w:ascii="Times New Roman" w:hAnsi="Times New Roman"/>
          <w:color w:val="auto"/>
          <w:sz w:val="24"/>
          <w:szCs w:val="24"/>
          <w:highlight w:val="none"/>
        </w:rPr>
        <w:t>30.2 如果成交供应商在规定的合同签订时间内，没有按照采购文件的规定交纳履约保证金，且又无正当理由的，将视为放弃成交。</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31.合同公告</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31.1采购人或采购代理机构按相关规定执行。</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32.合同备案</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32.1</w:t>
      </w:r>
      <w:r>
        <w:rPr>
          <w:rFonts w:ascii="Times New Roman" w:hAnsi="Times New Roman"/>
          <w:color w:val="auto"/>
          <w:sz w:val="24"/>
          <w:szCs w:val="24"/>
          <w:highlight w:val="none"/>
        </w:rPr>
        <w:t>采购人或采购代理机构按相关规定执行</w:t>
      </w:r>
      <w:r>
        <w:rPr>
          <w:rFonts w:ascii="Times New Roman" w:hAnsi="Times New Roman"/>
          <w:color w:val="auto"/>
          <w:sz w:val="24"/>
          <w:highlight w:val="none"/>
        </w:rPr>
        <w:t>。</w:t>
      </w:r>
    </w:p>
    <w:p>
      <w:pPr>
        <w:adjustRightInd w:val="0"/>
        <w:snapToGrid w:val="0"/>
        <w:spacing w:line="360" w:lineRule="auto"/>
        <w:ind w:firstLine="482" w:firstLineChars="200"/>
        <w:outlineLvl w:val="2"/>
        <w:rPr>
          <w:rFonts w:ascii="Times New Roman" w:hAnsi="Times New Roman"/>
          <w:b/>
          <w:bCs/>
          <w:color w:val="auto"/>
          <w:sz w:val="24"/>
          <w:highlight w:val="none"/>
        </w:rPr>
      </w:pPr>
      <w:r>
        <w:rPr>
          <w:rFonts w:ascii="Times New Roman" w:hAnsi="Times New Roman"/>
          <w:b/>
          <w:bCs/>
          <w:color w:val="auto"/>
          <w:sz w:val="24"/>
          <w:highlight w:val="none"/>
        </w:rPr>
        <w:t>33. 履行合同</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33.1 成交供应商与采购人签订合同后，合同双方应严格执行合同条款，履行合同规定的义务，保证合同的顺利完成。</w:t>
      </w:r>
    </w:p>
    <w:p>
      <w:pPr>
        <w:adjustRightInd w:val="0"/>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33.2 在合同履行过程中，如发生合同纠纷，合同双方应按照《民法典》的有关规定进行处理。</w:t>
      </w:r>
    </w:p>
    <w:p>
      <w:pPr>
        <w:adjustRightInd w:val="0"/>
        <w:snapToGrid w:val="0"/>
        <w:spacing w:line="360" w:lineRule="auto"/>
        <w:ind w:firstLine="482" w:firstLineChars="200"/>
        <w:outlineLvl w:val="2"/>
        <w:rPr>
          <w:rFonts w:hint="eastAsia" w:ascii="Times New Roman" w:hAnsi="Times New Roman"/>
          <w:b/>
          <w:bCs/>
          <w:color w:val="auto"/>
          <w:sz w:val="24"/>
          <w:highlight w:val="none"/>
        </w:rPr>
      </w:pPr>
      <w:r>
        <w:rPr>
          <w:rFonts w:hint="eastAsia" w:ascii="Times New Roman" w:hAnsi="Times New Roman"/>
          <w:b/>
          <w:bCs/>
          <w:color w:val="auto"/>
          <w:sz w:val="24"/>
          <w:highlight w:val="none"/>
        </w:rPr>
        <w:t>34. 验收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34.1本项目采购人将依据合同条款、竞争性磋商文件要求、响应文件响应及承诺内容，严格按照国家相关法律法规的要求进行验收，符合国家相关验收标准。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34.3验收结果合格的，成交人凭采购人出具的验收合格书面证明到采购人相关部门办理履约保证金的退付手续（如有）；验收结果不合格的，也将不予支付采购资金，还可能会报告本项目监督管理部门按照相关法律法规等有关规定给予行政处罚或者以失信行为记入诚信档案。</w:t>
      </w:r>
    </w:p>
    <w:p>
      <w:pPr>
        <w:numPr>
          <w:ilvl w:val="0"/>
          <w:numId w:val="17"/>
        </w:numPr>
        <w:adjustRightInd w:val="0"/>
        <w:snapToGrid w:val="0"/>
        <w:spacing w:line="360" w:lineRule="auto"/>
        <w:ind w:firstLine="482" w:firstLineChars="200"/>
        <w:outlineLvl w:val="2"/>
        <w:rPr>
          <w:rFonts w:hint="eastAsia" w:ascii="Times New Roman" w:hAnsi="Times New Roman"/>
          <w:b/>
          <w:bCs/>
          <w:color w:val="auto"/>
          <w:sz w:val="24"/>
          <w:highlight w:val="none"/>
        </w:rPr>
      </w:pPr>
      <w:r>
        <w:rPr>
          <w:rFonts w:hint="eastAsia" w:ascii="Times New Roman" w:hAnsi="Times New Roman"/>
          <w:b/>
          <w:bCs/>
          <w:color w:val="auto"/>
          <w:sz w:val="24"/>
          <w:highlight w:val="none"/>
        </w:rPr>
        <w:t>付款方式：</w:t>
      </w:r>
    </w:p>
    <w:p>
      <w:pPr>
        <w:spacing w:line="360" w:lineRule="auto"/>
        <w:rPr>
          <w:rFonts w:hint="eastAsia" w:hAnsi="宋体" w:cs="宋体"/>
          <w:color w:val="auto"/>
          <w:sz w:val="24"/>
          <w:szCs w:val="22"/>
          <w:highlight w:val="none"/>
        </w:rPr>
      </w:pPr>
      <w:r>
        <w:rPr>
          <w:rFonts w:hint="eastAsia" w:hAnsi="宋体" w:cs="宋体"/>
          <w:color w:val="auto"/>
          <w:sz w:val="24"/>
          <w:szCs w:val="22"/>
          <w:highlight w:val="none"/>
        </w:rPr>
        <w:t>详见本项目合同部分。</w:t>
      </w:r>
    </w:p>
    <w:p>
      <w:pPr>
        <w:pStyle w:val="3"/>
        <w:spacing w:line="360" w:lineRule="auto"/>
        <w:ind w:firstLine="562" w:firstLineChars="200"/>
        <w:jc w:val="center"/>
        <w:rPr>
          <w:rFonts w:hint="eastAsia" w:ascii="宋体" w:hAnsi="宋体" w:cs="宋体"/>
          <w:color w:val="auto"/>
          <w:sz w:val="28"/>
          <w:szCs w:val="28"/>
          <w:highlight w:val="none"/>
        </w:rPr>
      </w:pPr>
      <w:bookmarkStart w:id="60" w:name="_Toc478476778"/>
      <w:bookmarkStart w:id="61" w:name="_Toc469316190"/>
      <w:bookmarkStart w:id="62" w:name="_Toc217446074"/>
      <w:bookmarkStart w:id="63" w:name="_Toc3298139"/>
      <w:bookmarkStart w:id="64" w:name="_Toc308164815"/>
      <w:bookmarkStart w:id="65" w:name="_Toc183682380"/>
      <w:bookmarkStart w:id="66" w:name="_Toc183582243"/>
      <w:r>
        <w:rPr>
          <w:rFonts w:hint="eastAsia" w:ascii="宋体" w:hAnsi="宋体" w:cs="宋体"/>
          <w:color w:val="auto"/>
          <w:sz w:val="28"/>
          <w:szCs w:val="28"/>
          <w:highlight w:val="none"/>
        </w:rPr>
        <w:t>六、竞争性磋商纪律要求</w:t>
      </w:r>
      <w:bookmarkEnd w:id="60"/>
      <w:bookmarkEnd w:id="61"/>
      <w:bookmarkEnd w:id="62"/>
      <w:bookmarkEnd w:id="63"/>
      <w:bookmarkEnd w:id="64"/>
    </w:p>
    <w:p>
      <w:pPr>
        <w:numPr>
          <w:ilvl w:val="0"/>
          <w:numId w:val="17"/>
        </w:numPr>
        <w:adjustRightInd w:val="0"/>
        <w:snapToGrid w:val="0"/>
        <w:spacing w:line="360" w:lineRule="auto"/>
        <w:ind w:firstLine="482" w:firstLineChars="200"/>
        <w:outlineLvl w:val="2"/>
        <w:rPr>
          <w:rFonts w:hint="eastAsia" w:ascii="Times New Roman" w:hAnsi="Times New Roman"/>
          <w:b/>
          <w:bCs/>
          <w:color w:val="auto"/>
          <w:sz w:val="24"/>
          <w:highlight w:val="none"/>
        </w:rPr>
      </w:pPr>
      <w:bookmarkStart w:id="67" w:name="_Toc308164816"/>
      <w:bookmarkStart w:id="68" w:name="_Toc217446075"/>
      <w:r>
        <w:rPr>
          <w:rFonts w:hint="eastAsia" w:ascii="Times New Roman" w:hAnsi="Times New Roman"/>
          <w:b/>
          <w:bCs/>
          <w:color w:val="auto"/>
          <w:sz w:val="24"/>
          <w:highlight w:val="none"/>
        </w:rPr>
        <w:t>供应商不得具有的情形</w:t>
      </w:r>
      <w:bookmarkEnd w:id="67"/>
      <w:bookmarkEnd w:id="68"/>
    </w:p>
    <w:p>
      <w:pPr>
        <w:pStyle w:val="6"/>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lang w:val="en-US" w:eastAsia="zh-CN"/>
        </w:rPr>
        <w:t>36.1</w:t>
      </w:r>
      <w:r>
        <w:rPr>
          <w:rFonts w:hint="eastAsia" w:ascii="宋体" w:hAnsi="宋体" w:cs="宋体"/>
          <w:color w:val="auto"/>
          <w:sz w:val="24"/>
          <w:highlight w:val="none"/>
        </w:rPr>
        <w:t>供应商参加本项目报价不得有下列情形：</w:t>
      </w:r>
    </w:p>
    <w:p>
      <w:pPr>
        <w:spacing w:line="360" w:lineRule="auto"/>
        <w:ind w:firstLine="460" w:firstLineChars="192"/>
        <w:rPr>
          <w:rFonts w:hint="eastAsia" w:hAnsi="宋体" w:cs="宋体"/>
          <w:color w:val="auto"/>
          <w:sz w:val="24"/>
          <w:highlight w:val="none"/>
        </w:rPr>
      </w:pPr>
      <w:r>
        <w:rPr>
          <w:rFonts w:hint="eastAsia" w:hAnsi="宋体" w:cs="宋体"/>
          <w:color w:val="auto"/>
          <w:sz w:val="24"/>
          <w:highlight w:val="none"/>
        </w:rPr>
        <w:t>（1）提供虚假材料谋取成交；</w:t>
      </w:r>
    </w:p>
    <w:p>
      <w:pPr>
        <w:spacing w:line="360" w:lineRule="auto"/>
        <w:ind w:firstLine="460" w:firstLineChars="192"/>
        <w:rPr>
          <w:rFonts w:hint="eastAsia" w:hAnsi="宋体" w:cs="宋体"/>
          <w:color w:val="auto"/>
          <w:sz w:val="24"/>
          <w:highlight w:val="none"/>
        </w:rPr>
      </w:pPr>
      <w:r>
        <w:rPr>
          <w:rFonts w:hint="eastAsia" w:hAnsi="宋体" w:cs="宋体"/>
          <w:color w:val="auto"/>
          <w:sz w:val="24"/>
          <w:highlight w:val="none"/>
        </w:rPr>
        <w:t>（2）采取不正当手段诋毁、排挤其他供应商；</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（3）与采购人、采购代理机构、其他供应商恶意串通；</w:t>
      </w:r>
    </w:p>
    <w:p>
      <w:pPr>
        <w:spacing w:line="360" w:lineRule="auto"/>
        <w:rPr>
          <w:rFonts w:hint="eastAsia" w:hAnsi="宋体" w:cs="宋体"/>
          <w:color w:val="auto"/>
          <w:sz w:val="24"/>
          <w:highlight w:val="none"/>
        </w:rPr>
      </w:pPr>
      <w:r>
        <w:rPr>
          <w:rFonts w:hint="eastAsia" w:hAnsi="宋体" w:cs="宋体"/>
          <w:color w:val="auto"/>
          <w:sz w:val="24"/>
          <w:highlight w:val="none"/>
        </w:rPr>
        <w:t xml:space="preserve">    （4）向采购人、采购代理机构、磋商小组成员行贿或者提供其他不正当利益；</w:t>
      </w:r>
    </w:p>
    <w:p>
      <w:pPr>
        <w:spacing w:line="360" w:lineRule="auto"/>
        <w:ind w:firstLine="460" w:firstLineChars="192"/>
        <w:rPr>
          <w:rFonts w:hint="eastAsia" w:hAnsi="宋体" w:cs="宋体"/>
          <w:color w:val="auto"/>
          <w:sz w:val="24"/>
          <w:highlight w:val="none"/>
        </w:rPr>
      </w:pPr>
      <w:r>
        <w:rPr>
          <w:rFonts w:hint="eastAsia" w:hAnsi="宋体" w:cs="宋体"/>
          <w:color w:val="auto"/>
          <w:sz w:val="24"/>
          <w:highlight w:val="none"/>
        </w:rPr>
        <w:t>（5）在磋商过程中与采购人、采购代理机构进行协商磋商；</w:t>
      </w:r>
    </w:p>
    <w:p>
      <w:pPr>
        <w:spacing w:line="360" w:lineRule="auto"/>
        <w:ind w:firstLine="460" w:firstLineChars="192"/>
        <w:rPr>
          <w:rFonts w:hint="eastAsia" w:hAnsi="宋体" w:cs="宋体"/>
          <w:color w:val="auto"/>
          <w:sz w:val="24"/>
          <w:highlight w:val="none"/>
        </w:rPr>
      </w:pPr>
      <w:r>
        <w:rPr>
          <w:rFonts w:hint="eastAsia" w:hAnsi="宋体" w:cs="宋体"/>
          <w:color w:val="auto"/>
          <w:sz w:val="24"/>
          <w:highlight w:val="none"/>
        </w:rPr>
        <w:t>（6）成交后无正当理由拒不与采购人签订采购合同；</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（7）未按照竞争性磋商文件确定的事项签订采购合同（经整改符合要求的情况除外）；</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（8）将采购合同转包或者违规分包；</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（9）提供假冒伪劣产品；</w:t>
      </w:r>
    </w:p>
    <w:p>
      <w:pPr>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（10）擅自变更、中止或者终止采购合同；</w:t>
      </w:r>
    </w:p>
    <w:p>
      <w:pPr>
        <w:spacing w:line="360" w:lineRule="auto"/>
        <w:ind w:firstLine="460" w:firstLineChars="192"/>
        <w:rPr>
          <w:rFonts w:hint="eastAsia" w:hAnsi="宋体" w:cs="宋体"/>
          <w:color w:val="auto"/>
          <w:sz w:val="24"/>
          <w:highlight w:val="none"/>
        </w:rPr>
      </w:pPr>
      <w:r>
        <w:rPr>
          <w:rFonts w:hint="eastAsia" w:hAnsi="宋体" w:cs="宋体"/>
          <w:color w:val="auto"/>
          <w:sz w:val="24"/>
          <w:highlight w:val="none"/>
        </w:rPr>
        <w:t>（11）拒绝有关部门的监督检查或者向监督检查部门提供虚假情况；</w:t>
      </w:r>
    </w:p>
    <w:p>
      <w:pPr>
        <w:spacing w:line="360" w:lineRule="auto"/>
        <w:ind w:firstLine="460" w:firstLineChars="192"/>
        <w:rPr>
          <w:rFonts w:hint="eastAsia" w:hAnsi="宋体" w:cs="宋体"/>
          <w:color w:val="auto"/>
          <w:sz w:val="24"/>
          <w:highlight w:val="none"/>
        </w:rPr>
      </w:pPr>
      <w:r>
        <w:rPr>
          <w:rFonts w:hint="eastAsia" w:hAnsi="宋体" w:cs="宋体"/>
          <w:color w:val="auto"/>
          <w:sz w:val="24"/>
          <w:highlight w:val="none"/>
        </w:rPr>
        <w:t>（12）为采购人的附属机构，或与采购人存在利害关系可能影响采购公正性的；</w:t>
      </w:r>
    </w:p>
    <w:p>
      <w:pPr>
        <w:spacing w:line="360" w:lineRule="auto"/>
        <w:ind w:firstLine="460" w:firstLineChars="192"/>
        <w:rPr>
          <w:rFonts w:hint="eastAsia" w:hAnsi="宋体" w:cs="宋体"/>
          <w:color w:val="auto"/>
          <w:sz w:val="24"/>
          <w:highlight w:val="none"/>
        </w:rPr>
      </w:pPr>
      <w:r>
        <w:rPr>
          <w:rFonts w:hint="eastAsia" w:hAnsi="宋体" w:cs="宋体"/>
          <w:color w:val="auto"/>
          <w:sz w:val="24"/>
          <w:highlight w:val="none"/>
        </w:rPr>
        <w:t>（13）法律法规规定的其他情形；</w:t>
      </w:r>
    </w:p>
    <w:p>
      <w:pPr>
        <w:snapToGrid w:val="0"/>
        <w:spacing w:after="0" w:line="360" w:lineRule="auto"/>
        <w:ind w:firstLine="480" w:firstLineChars="200"/>
        <w:outlineLvl w:val="2"/>
        <w:rPr>
          <w:rFonts w:hint="eastAsia" w:hAnsi="宋体" w:cs="宋体"/>
          <w:color w:val="auto"/>
          <w:sz w:val="24"/>
          <w:highlight w:val="none"/>
        </w:rPr>
      </w:pPr>
      <w:r>
        <w:rPr>
          <w:rFonts w:hint="eastAsia" w:hAnsi="宋体" w:cs="宋体"/>
          <w:color w:val="auto"/>
          <w:sz w:val="24"/>
          <w:highlight w:val="none"/>
        </w:rPr>
        <w:t>供应商有上述情形的，按照规定追究法律责任，具备（1）-（</w:t>
      </w:r>
      <w:r>
        <w:rPr>
          <w:rFonts w:hint="eastAsia" w:hAnsi="宋体" w:cs="宋体"/>
          <w:color w:val="auto"/>
          <w:sz w:val="24"/>
          <w:highlight w:val="none"/>
          <w:lang w:val="en-US" w:eastAsia="zh-CN"/>
        </w:rPr>
        <w:t>13</w:t>
      </w:r>
      <w:r>
        <w:rPr>
          <w:rFonts w:hint="eastAsia" w:hAnsi="宋体" w:cs="宋体"/>
          <w:color w:val="auto"/>
          <w:sz w:val="24"/>
          <w:highlight w:val="none"/>
        </w:rPr>
        <w:t>）条情形之一的，同时将取消成交资格或者认定成交无效。</w:t>
      </w:r>
    </w:p>
    <w:p>
      <w:pPr>
        <w:snapToGrid w:val="0"/>
        <w:spacing w:after="0" w:line="360" w:lineRule="auto"/>
        <w:ind w:firstLine="480" w:firstLineChars="200"/>
        <w:outlineLvl w:val="2"/>
        <w:rPr>
          <w:rStyle w:val="296"/>
          <w:color w:val="auto"/>
          <w:sz w:val="24"/>
          <w:highlight w:val="none"/>
        </w:rPr>
      </w:pPr>
      <w:r>
        <w:rPr>
          <w:rStyle w:val="296"/>
          <w:rFonts w:hint="eastAsia"/>
          <w:color w:val="auto"/>
          <w:sz w:val="24"/>
          <w:highlight w:val="none"/>
          <w:lang w:val="en-US"/>
        </w:rPr>
        <w:t>36</w:t>
      </w:r>
      <w:r>
        <w:rPr>
          <w:rStyle w:val="296"/>
          <w:color w:val="auto"/>
          <w:sz w:val="24"/>
          <w:highlight w:val="none"/>
        </w:rPr>
        <w:t xml:space="preserve">.2 </w:t>
      </w:r>
      <w:r>
        <w:rPr>
          <w:rStyle w:val="296"/>
          <w:rFonts w:hint="eastAsia"/>
          <w:color w:val="auto"/>
          <w:sz w:val="24"/>
          <w:highlight w:val="none"/>
        </w:rPr>
        <w:t>供应商</w:t>
      </w:r>
      <w:r>
        <w:rPr>
          <w:rStyle w:val="296"/>
          <w:color w:val="auto"/>
          <w:sz w:val="24"/>
          <w:highlight w:val="none"/>
        </w:rPr>
        <w:t>有下列情形之一的，视为</w:t>
      </w:r>
      <w:r>
        <w:rPr>
          <w:rStyle w:val="296"/>
          <w:rFonts w:hint="eastAsia"/>
          <w:color w:val="auto"/>
          <w:sz w:val="24"/>
          <w:highlight w:val="none"/>
        </w:rPr>
        <w:t>供应商</w:t>
      </w:r>
      <w:r>
        <w:rPr>
          <w:rStyle w:val="296"/>
          <w:color w:val="auto"/>
          <w:sz w:val="24"/>
          <w:highlight w:val="none"/>
        </w:rPr>
        <w:t>串通投标，其投标无效：</w:t>
      </w:r>
    </w:p>
    <w:p>
      <w:pPr>
        <w:snapToGrid w:val="0"/>
        <w:spacing w:after="0" w:line="360" w:lineRule="auto"/>
        <w:ind w:firstLine="480" w:firstLineChars="200"/>
        <w:rPr>
          <w:rStyle w:val="296"/>
          <w:color w:val="auto"/>
          <w:sz w:val="24"/>
          <w:highlight w:val="none"/>
        </w:rPr>
      </w:pPr>
      <w:r>
        <w:rPr>
          <w:rStyle w:val="296"/>
          <w:color w:val="auto"/>
          <w:sz w:val="24"/>
          <w:highlight w:val="none"/>
        </w:rPr>
        <w:t>（1）不同</w:t>
      </w:r>
      <w:r>
        <w:rPr>
          <w:rStyle w:val="296"/>
          <w:rFonts w:hint="eastAsia"/>
          <w:color w:val="auto"/>
          <w:sz w:val="24"/>
          <w:highlight w:val="none"/>
        </w:rPr>
        <w:t>供应商</w:t>
      </w:r>
      <w:r>
        <w:rPr>
          <w:rStyle w:val="296"/>
          <w:color w:val="auto"/>
          <w:sz w:val="24"/>
          <w:highlight w:val="none"/>
        </w:rPr>
        <w:t>的投标文件由同一单位或者个人编制；</w:t>
      </w:r>
    </w:p>
    <w:p>
      <w:pPr>
        <w:snapToGrid w:val="0"/>
        <w:spacing w:after="0" w:line="360" w:lineRule="auto"/>
        <w:ind w:firstLine="480" w:firstLineChars="200"/>
        <w:rPr>
          <w:rStyle w:val="296"/>
          <w:color w:val="auto"/>
          <w:sz w:val="24"/>
          <w:highlight w:val="none"/>
        </w:rPr>
      </w:pPr>
      <w:r>
        <w:rPr>
          <w:rStyle w:val="296"/>
          <w:color w:val="auto"/>
          <w:sz w:val="24"/>
          <w:highlight w:val="none"/>
        </w:rPr>
        <w:t>（2）不同</w:t>
      </w:r>
      <w:r>
        <w:rPr>
          <w:rStyle w:val="296"/>
          <w:rFonts w:hint="eastAsia"/>
          <w:color w:val="auto"/>
          <w:sz w:val="24"/>
          <w:highlight w:val="none"/>
        </w:rPr>
        <w:t>供应商</w:t>
      </w:r>
      <w:r>
        <w:rPr>
          <w:rStyle w:val="296"/>
          <w:color w:val="auto"/>
          <w:sz w:val="24"/>
          <w:highlight w:val="none"/>
        </w:rPr>
        <w:t>委托同一单位或者个人办理投标事宜；</w:t>
      </w:r>
    </w:p>
    <w:p>
      <w:pPr>
        <w:snapToGrid w:val="0"/>
        <w:spacing w:after="0" w:line="360" w:lineRule="auto"/>
        <w:ind w:firstLine="480" w:firstLineChars="200"/>
        <w:rPr>
          <w:rStyle w:val="296"/>
          <w:color w:val="auto"/>
          <w:sz w:val="24"/>
          <w:highlight w:val="none"/>
        </w:rPr>
      </w:pPr>
      <w:r>
        <w:rPr>
          <w:rStyle w:val="296"/>
          <w:color w:val="auto"/>
          <w:sz w:val="24"/>
          <w:highlight w:val="none"/>
        </w:rPr>
        <w:t>（3）不同</w:t>
      </w:r>
      <w:r>
        <w:rPr>
          <w:rStyle w:val="296"/>
          <w:rFonts w:hint="eastAsia"/>
          <w:color w:val="auto"/>
          <w:sz w:val="24"/>
          <w:highlight w:val="none"/>
        </w:rPr>
        <w:t>供应商</w:t>
      </w:r>
      <w:r>
        <w:rPr>
          <w:rStyle w:val="296"/>
          <w:color w:val="auto"/>
          <w:sz w:val="24"/>
          <w:highlight w:val="none"/>
        </w:rPr>
        <w:t>的投标文件载明的项目管理成员或者联系人员为同一人；</w:t>
      </w:r>
    </w:p>
    <w:p>
      <w:pPr>
        <w:snapToGrid w:val="0"/>
        <w:spacing w:after="0" w:line="360" w:lineRule="auto"/>
        <w:ind w:firstLine="480" w:firstLineChars="200"/>
        <w:rPr>
          <w:rStyle w:val="296"/>
          <w:color w:val="auto"/>
          <w:sz w:val="24"/>
          <w:highlight w:val="none"/>
        </w:rPr>
      </w:pPr>
      <w:r>
        <w:rPr>
          <w:rStyle w:val="296"/>
          <w:color w:val="auto"/>
          <w:sz w:val="24"/>
          <w:highlight w:val="none"/>
        </w:rPr>
        <w:t>（4）不同</w:t>
      </w:r>
      <w:r>
        <w:rPr>
          <w:rStyle w:val="296"/>
          <w:rFonts w:hint="eastAsia"/>
          <w:color w:val="auto"/>
          <w:sz w:val="24"/>
          <w:highlight w:val="none"/>
        </w:rPr>
        <w:t>供应商</w:t>
      </w:r>
      <w:r>
        <w:rPr>
          <w:rStyle w:val="296"/>
          <w:color w:val="auto"/>
          <w:sz w:val="24"/>
          <w:highlight w:val="none"/>
        </w:rPr>
        <w:t>的投标文件异常一致或者投标报价呈规律性差异；</w:t>
      </w:r>
    </w:p>
    <w:p>
      <w:pPr>
        <w:snapToGrid w:val="0"/>
        <w:spacing w:after="0" w:line="360" w:lineRule="auto"/>
        <w:ind w:firstLine="480" w:firstLineChars="200"/>
        <w:rPr>
          <w:rStyle w:val="296"/>
          <w:color w:val="auto"/>
          <w:sz w:val="24"/>
          <w:highlight w:val="none"/>
        </w:rPr>
      </w:pPr>
      <w:r>
        <w:rPr>
          <w:rStyle w:val="296"/>
          <w:color w:val="auto"/>
          <w:sz w:val="24"/>
          <w:highlight w:val="none"/>
        </w:rPr>
        <w:t>（5）不同</w:t>
      </w:r>
      <w:r>
        <w:rPr>
          <w:rStyle w:val="296"/>
          <w:rFonts w:hint="eastAsia"/>
          <w:color w:val="auto"/>
          <w:sz w:val="24"/>
          <w:highlight w:val="none"/>
        </w:rPr>
        <w:t>供应商</w:t>
      </w:r>
      <w:r>
        <w:rPr>
          <w:rStyle w:val="296"/>
          <w:color w:val="auto"/>
          <w:sz w:val="24"/>
          <w:highlight w:val="none"/>
        </w:rPr>
        <w:t>的投标文件相互混装；</w:t>
      </w:r>
    </w:p>
    <w:p>
      <w:pPr>
        <w:spacing w:line="360" w:lineRule="auto"/>
        <w:ind w:firstLine="480" w:firstLineChars="200"/>
        <w:rPr>
          <w:rFonts w:hint="eastAsia" w:hAnsi="宋体" w:cs="宋体"/>
          <w:color w:val="auto"/>
          <w:sz w:val="24"/>
          <w:highlight w:val="none"/>
        </w:rPr>
      </w:pPr>
      <w:r>
        <w:rPr>
          <w:rStyle w:val="296"/>
          <w:color w:val="auto"/>
          <w:sz w:val="24"/>
          <w:highlight w:val="none"/>
        </w:rPr>
        <w:t>（6）不同</w:t>
      </w:r>
      <w:r>
        <w:rPr>
          <w:rStyle w:val="296"/>
          <w:rFonts w:hint="eastAsia"/>
          <w:color w:val="auto"/>
          <w:sz w:val="24"/>
          <w:highlight w:val="none"/>
        </w:rPr>
        <w:t>供应商</w:t>
      </w:r>
      <w:r>
        <w:rPr>
          <w:rStyle w:val="296"/>
          <w:color w:val="auto"/>
          <w:sz w:val="24"/>
          <w:highlight w:val="none"/>
        </w:rPr>
        <w:t>的投标保证金从同一单位或者个人的账户转出。</w:t>
      </w:r>
    </w:p>
    <w:p>
      <w:pPr>
        <w:pStyle w:val="3"/>
        <w:spacing w:line="360" w:lineRule="auto"/>
        <w:ind w:firstLine="562" w:firstLineChars="200"/>
        <w:jc w:val="center"/>
        <w:rPr>
          <w:rFonts w:hint="eastAsia" w:ascii="宋体" w:hAnsi="宋体" w:cs="宋体"/>
          <w:color w:val="auto"/>
          <w:sz w:val="28"/>
          <w:szCs w:val="28"/>
          <w:highlight w:val="none"/>
        </w:rPr>
      </w:pPr>
      <w:bookmarkStart w:id="69" w:name="_Toc469316191"/>
      <w:bookmarkStart w:id="70" w:name="_Toc478476779"/>
      <w:bookmarkStart w:id="71" w:name="_Toc308164819"/>
      <w:bookmarkStart w:id="72" w:name="_Toc3298140"/>
      <w:bookmarkStart w:id="73" w:name="_Toc217446078"/>
      <w:r>
        <w:rPr>
          <w:rFonts w:hint="eastAsia" w:ascii="宋体" w:hAnsi="宋体" w:cs="宋体"/>
          <w:color w:val="auto"/>
          <w:sz w:val="28"/>
          <w:szCs w:val="28"/>
          <w:highlight w:val="none"/>
        </w:rPr>
        <w:t>七、询问、质疑和投诉</w:t>
      </w:r>
      <w:bookmarkEnd w:id="69"/>
      <w:bookmarkEnd w:id="70"/>
      <w:bookmarkEnd w:id="71"/>
      <w:bookmarkEnd w:id="72"/>
      <w:bookmarkEnd w:id="73"/>
      <w:bookmarkStart w:id="74" w:name="_Toc217446079"/>
    </w:p>
    <w:bookmarkEnd w:id="65"/>
    <w:bookmarkEnd w:id="66"/>
    <w:bookmarkEnd w:id="74"/>
    <w:p>
      <w:pPr>
        <w:widowControl/>
        <w:spacing w:line="360" w:lineRule="auto"/>
        <w:ind w:firstLine="472" w:firstLineChars="196"/>
        <w:jc w:val="left"/>
        <w:outlineLvl w:val="1"/>
        <w:rPr>
          <w:rFonts w:hint="eastAsia" w:hAnsi="宋体" w:cs="宋体"/>
          <w:color w:val="auto"/>
          <w:sz w:val="24"/>
          <w:highlight w:val="none"/>
        </w:rPr>
      </w:pPr>
      <w:bookmarkStart w:id="75" w:name="_Toc478476780"/>
      <w:bookmarkStart w:id="76" w:name="_Toc3298141"/>
      <w:r>
        <w:rPr>
          <w:rFonts w:hint="eastAsia" w:hAnsi="宋体" w:cs="宋体"/>
          <w:b/>
          <w:color w:val="auto"/>
          <w:sz w:val="24"/>
          <w:highlight w:val="none"/>
        </w:rPr>
        <w:t>37．</w:t>
      </w:r>
      <w:r>
        <w:rPr>
          <w:rFonts w:hint="eastAsia" w:hAnsi="宋体" w:cs="宋体"/>
          <w:color w:val="auto"/>
          <w:sz w:val="24"/>
          <w:highlight w:val="none"/>
        </w:rPr>
        <w:t>询问、质疑、投诉的接收和处理按照《中华人共和国政府采购法》、《中华人民共和国政府采购法实施条例》《财政部关于加强政府采购供应商投诉受理审查工作的通知》和《政府采购质疑和投诉办法》的规定办理（详细规定请在中国政府采购网政策法规模块查询）。</w:t>
      </w:r>
      <w:bookmarkEnd w:id="75"/>
      <w:bookmarkEnd w:id="76"/>
    </w:p>
    <w:p>
      <w:pPr>
        <w:pStyle w:val="3"/>
        <w:spacing w:line="360" w:lineRule="auto"/>
        <w:jc w:val="center"/>
        <w:rPr>
          <w:rFonts w:hint="eastAsia" w:ascii="宋体" w:hAnsi="宋体" w:cs="宋体"/>
          <w:color w:val="auto"/>
          <w:sz w:val="28"/>
          <w:szCs w:val="28"/>
          <w:highlight w:val="none"/>
        </w:rPr>
      </w:pPr>
      <w:bookmarkStart w:id="77" w:name="_Toc3298142"/>
      <w:bookmarkStart w:id="78" w:name="_Toc478476781"/>
      <w:bookmarkStart w:id="79" w:name="_Toc469316192"/>
      <w:r>
        <w:rPr>
          <w:rFonts w:hint="eastAsia" w:ascii="宋体" w:hAnsi="宋体" w:cs="宋体"/>
          <w:color w:val="auto"/>
          <w:sz w:val="28"/>
          <w:szCs w:val="28"/>
          <w:highlight w:val="none"/>
        </w:rPr>
        <w:t>八、其他</w:t>
      </w:r>
      <w:bookmarkEnd w:id="77"/>
      <w:bookmarkEnd w:id="78"/>
      <w:bookmarkEnd w:id="79"/>
    </w:p>
    <w:p>
      <w:pPr>
        <w:widowControl/>
        <w:spacing w:line="360" w:lineRule="auto"/>
        <w:ind w:firstLine="482" w:firstLineChars="200"/>
        <w:jc w:val="left"/>
        <w:outlineLvl w:val="1"/>
        <w:rPr>
          <w:rFonts w:hint="eastAsia" w:hAnsi="宋体" w:cs="宋体"/>
          <w:color w:val="auto"/>
          <w:sz w:val="24"/>
          <w:highlight w:val="none"/>
        </w:rPr>
      </w:pPr>
      <w:bookmarkStart w:id="80" w:name="_Toc478476782"/>
      <w:bookmarkStart w:id="81" w:name="_Toc3298143"/>
      <w:r>
        <w:rPr>
          <w:rFonts w:hint="eastAsia" w:hAnsi="宋体" w:cs="宋体"/>
          <w:b/>
          <w:color w:val="auto"/>
          <w:sz w:val="24"/>
          <w:highlight w:val="none"/>
        </w:rPr>
        <w:t>38.</w:t>
      </w:r>
      <w:r>
        <w:rPr>
          <w:rFonts w:hint="eastAsia" w:hAnsi="宋体" w:cs="宋体"/>
          <w:color w:val="auto"/>
          <w:sz w:val="24"/>
          <w:highlight w:val="none"/>
        </w:rPr>
        <w:t>本竞争性磋商文件中所引相关法律制度规定，在采购中有变化的，按照变化后的相关法律制度规定执行。本章和第六章中“4.评审方法、5.竞争性磋商程序”规定的内容条款，在本项目递交响应文件截止时间届满后，因相关法律制度规定的变化导致不符合相关法律制度规定的，直接按照变化后的相关法律制度规定执行，本竞争性磋商文件不再做调整。</w:t>
      </w:r>
      <w:bookmarkEnd w:id="80"/>
      <w:bookmarkEnd w:id="81"/>
    </w:p>
    <w:p>
      <w:pPr>
        <w:widowControl/>
        <w:spacing w:line="360" w:lineRule="auto"/>
        <w:ind w:firstLine="482" w:firstLineChars="200"/>
        <w:jc w:val="left"/>
        <w:outlineLvl w:val="1"/>
        <w:rPr>
          <w:rFonts w:hint="eastAsia" w:hAnsi="宋体" w:cs="宋体"/>
          <w:color w:val="auto"/>
          <w:sz w:val="24"/>
          <w:highlight w:val="none"/>
        </w:rPr>
      </w:pPr>
      <w:bookmarkStart w:id="82" w:name="_Toc3298144"/>
      <w:r>
        <w:rPr>
          <w:rFonts w:hint="eastAsia" w:hAnsi="宋体" w:cs="宋体"/>
          <w:b/>
          <w:color w:val="auto"/>
          <w:sz w:val="24"/>
          <w:highlight w:val="none"/>
        </w:rPr>
        <w:t>39.</w:t>
      </w:r>
      <w:r>
        <w:rPr>
          <w:rFonts w:hint="eastAsia" w:hAnsi="宋体" w:cs="宋体"/>
          <w:color w:val="auto"/>
          <w:sz w:val="24"/>
          <w:highlight w:val="none"/>
        </w:rPr>
        <w:t>国家或行业主管部门对供应商和采购产品的技术标准、质量标准和资格资质条件等有强制性规定的，须符合其要求。</w:t>
      </w:r>
      <w:bookmarkEnd w:id="82"/>
    </w:p>
    <w:p>
      <w:pPr>
        <w:pStyle w:val="2"/>
        <w:rPr>
          <w:rFonts w:ascii="Times New Roman"/>
          <w:color w:val="auto"/>
          <w:sz w:val="24"/>
          <w:highlight w:val="none"/>
        </w:rPr>
      </w:pPr>
    </w:p>
    <w:p>
      <w:pPr>
        <w:rPr>
          <w:rFonts w:ascii="Times New Roman"/>
          <w:color w:val="auto"/>
          <w:sz w:val="24"/>
          <w:highlight w:val="none"/>
        </w:rPr>
      </w:pPr>
      <w:r>
        <w:rPr>
          <w:rFonts w:ascii="Times New Roman"/>
          <w:color w:val="auto"/>
          <w:sz w:val="24"/>
          <w:highlight w:val="none"/>
        </w:rPr>
        <w:br w:type="page"/>
      </w:r>
    </w:p>
    <w:p>
      <w:pPr>
        <w:tabs>
          <w:tab w:val="left" w:pos="425"/>
          <w:tab w:val="left" w:pos="4265"/>
          <w:tab w:val="left" w:pos="5225"/>
        </w:tabs>
        <w:spacing w:line="360" w:lineRule="auto"/>
        <w:jc w:val="center"/>
        <w:outlineLvl w:val="0"/>
        <w:rPr>
          <w:rFonts w:ascii="Times New Roman" w:hAnsi="Times New Roman" w:eastAsia="黑体"/>
          <w:color w:val="auto"/>
          <w:sz w:val="32"/>
          <w:szCs w:val="32"/>
          <w:highlight w:val="none"/>
        </w:rPr>
      </w:pPr>
      <w:bookmarkStart w:id="83" w:name="_Toc327324318"/>
      <w:bookmarkStart w:id="84" w:name="_Toc19140"/>
      <w:r>
        <w:rPr>
          <w:rFonts w:ascii="Times New Roman" w:hAnsi="Times New Roman" w:eastAsia="黑体"/>
          <w:color w:val="auto"/>
          <w:sz w:val="32"/>
          <w:szCs w:val="32"/>
          <w:highlight w:val="none"/>
        </w:rPr>
        <w:t>第三章 供应商应具备的资格</w:t>
      </w:r>
      <w:bookmarkEnd w:id="83"/>
      <w:r>
        <w:rPr>
          <w:rFonts w:ascii="Times New Roman" w:hAnsi="Times New Roman" w:eastAsia="黑体"/>
          <w:color w:val="auto"/>
          <w:sz w:val="32"/>
          <w:szCs w:val="32"/>
          <w:highlight w:val="none"/>
        </w:rPr>
        <w:t>条件及应当提供的资格证明材料</w:t>
      </w:r>
      <w:bookmarkEnd w:id="84"/>
    </w:p>
    <w:p>
      <w:pPr>
        <w:pStyle w:val="303"/>
        <w:widowControl/>
        <w:snapToGrid w:val="0"/>
        <w:spacing w:before="0" w:after="0" w:line="360" w:lineRule="auto"/>
        <w:outlineLvl w:val="1"/>
        <w:rPr>
          <w:rStyle w:val="296"/>
          <w:rFonts w:hAnsi="宋体" w:cs="宋体"/>
          <w:color w:val="000000" w:themeColor="text1"/>
          <w:sz w:val="24"/>
          <w:szCs w:val="24"/>
          <w:highlight w:val="none"/>
          <w14:textFill>
            <w14:solidFill>
              <w14:schemeClr w14:val="tx1"/>
            </w14:solidFill>
          </w14:textFill>
        </w:rPr>
      </w:pPr>
      <w:r>
        <w:rPr>
          <w:rStyle w:val="296"/>
          <w:rFonts w:hint="eastAsia" w:hAnsi="宋体" w:cs="宋体"/>
          <w:color w:val="000000" w:themeColor="text1"/>
          <w:sz w:val="24"/>
          <w:szCs w:val="24"/>
          <w:highlight w:val="none"/>
          <w14:textFill>
            <w14:solidFill>
              <w14:schemeClr w14:val="tx1"/>
            </w14:solidFill>
          </w14:textFill>
        </w:rPr>
        <w:t>一、应当提供的供应商资格、资质性及其他类似效力要求的相关证明材料</w:t>
      </w:r>
    </w:p>
    <w:p>
      <w:pPr>
        <w:snapToGrid w:val="0"/>
        <w:spacing w:line="360" w:lineRule="auto"/>
        <w:textAlignment w:val="baseline"/>
        <w:outlineLvl w:val="2"/>
        <w:rPr>
          <w:rStyle w:val="296"/>
          <w:rFonts w:hAnsi="宋体" w:cs="宋体"/>
          <w:b/>
          <w:bCs/>
          <w:color w:val="000000" w:themeColor="text1"/>
          <w:sz w:val="24"/>
          <w:highlight w:val="none"/>
          <w14:textFill>
            <w14:solidFill>
              <w14:schemeClr w14:val="tx1"/>
            </w14:solidFill>
          </w14:textFill>
        </w:rPr>
      </w:pPr>
      <w:r>
        <w:rPr>
          <w:rStyle w:val="296"/>
          <w:rFonts w:hint="eastAsia" w:hAnsi="宋体" w:cs="宋体"/>
          <w:b/>
          <w:bCs/>
          <w:color w:val="000000" w:themeColor="text1"/>
          <w:sz w:val="24"/>
          <w:highlight w:val="none"/>
          <w14:textFill>
            <w14:solidFill>
              <w14:schemeClr w14:val="tx1"/>
            </w14:solidFill>
          </w14:textFill>
        </w:rPr>
        <w:t>（一）资格要求相关证明材料：</w:t>
      </w:r>
    </w:p>
    <w:p>
      <w:pPr>
        <w:pStyle w:val="304"/>
        <w:widowControl/>
        <w:snapToGrid w:val="0"/>
        <w:ind w:firstLine="480"/>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1、</w:t>
      </w:r>
      <w:r>
        <w:rPr>
          <w:rStyle w:val="296"/>
          <w:rFonts w:hint="eastAsia" w:hAnsi="宋体" w:cs="宋体"/>
          <w:b/>
          <w:color w:val="000000" w:themeColor="text1"/>
          <w:sz w:val="24"/>
          <w:highlight w:val="none"/>
          <w14:textFill>
            <w14:solidFill>
              <w14:schemeClr w14:val="tx1"/>
            </w14:solidFill>
          </w14:textFill>
        </w:rPr>
        <w:t>具有独立承担民事责任的能力。</w:t>
      </w:r>
      <w:r>
        <w:rPr>
          <w:rStyle w:val="296"/>
          <w:rFonts w:hint="eastAsia" w:hAnsi="宋体" w:cs="宋体"/>
          <w:color w:val="000000" w:themeColor="text1"/>
          <w:sz w:val="24"/>
          <w:highlight w:val="none"/>
          <w14:textFill>
            <w14:solidFill>
              <w14:schemeClr w14:val="tx1"/>
            </w14:solidFill>
          </w14:textFill>
        </w:rPr>
        <w:t>（注：①供应商是企业（包括合伙企业）的，应提供其在工商部门注册的有效“营业执照”或“企业法人营业执照”复印件；②供应商是事业单位的，应提供其有效的“事业单位法人证书”复印件；③供应商是非企业专业服务机构的，应提供其有效的“执业许可证”复印件；④供应商是民办非企业单位的，应提供其有效的登记证书复印件；⑤供应商是个体工商户的，应提供其有效的“个体工商户营业执照”复印件；⑥供应商是自然人的，应提供其有效的自然人身份证明复印件。以上均提供复印件。）</w:t>
      </w:r>
    </w:p>
    <w:p>
      <w:pPr>
        <w:pStyle w:val="304"/>
        <w:widowControl/>
        <w:snapToGrid w:val="0"/>
        <w:ind w:firstLine="480"/>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2、</w:t>
      </w:r>
      <w:r>
        <w:rPr>
          <w:rStyle w:val="296"/>
          <w:rFonts w:hint="eastAsia" w:hAnsi="宋体" w:cs="宋体"/>
          <w:b/>
          <w:color w:val="000000" w:themeColor="text1"/>
          <w:sz w:val="24"/>
          <w:highlight w:val="none"/>
          <w14:textFill>
            <w14:solidFill>
              <w14:schemeClr w14:val="tx1"/>
            </w14:solidFill>
          </w14:textFill>
        </w:rPr>
        <w:t>具备良好商业信誉的证明材料</w:t>
      </w:r>
      <w:r>
        <w:rPr>
          <w:rStyle w:val="296"/>
          <w:rFonts w:hint="eastAsia" w:hAnsi="宋体" w:cs="宋体"/>
          <w:color w:val="000000" w:themeColor="text1"/>
          <w:sz w:val="24"/>
          <w:highlight w:val="none"/>
          <w14:textFill>
            <w14:solidFill>
              <w14:schemeClr w14:val="tx1"/>
            </w14:solidFill>
          </w14:textFill>
        </w:rPr>
        <w:t>（可提供承诺，格式详见第五章）；</w:t>
      </w:r>
    </w:p>
    <w:p>
      <w:pPr>
        <w:pStyle w:val="304"/>
        <w:widowControl/>
        <w:snapToGrid w:val="0"/>
        <w:ind w:firstLine="480"/>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3、</w:t>
      </w:r>
      <w:r>
        <w:rPr>
          <w:rStyle w:val="296"/>
          <w:rFonts w:hint="eastAsia" w:hAnsi="宋体" w:cs="宋体"/>
          <w:b/>
          <w:color w:val="000000" w:themeColor="text1"/>
          <w:sz w:val="24"/>
          <w:highlight w:val="none"/>
          <w14:textFill>
            <w14:solidFill>
              <w14:schemeClr w14:val="tx1"/>
            </w14:solidFill>
          </w14:textFill>
        </w:rPr>
        <w:t>具备健全的财务会计制度的证明材料</w:t>
      </w:r>
      <w:r>
        <w:rPr>
          <w:rFonts w:ascii="Arial" w:hAnsi="Arial" w:cs="Arial"/>
          <w:color w:val="auto"/>
          <w:sz w:val="24"/>
          <w:highlight w:val="none"/>
        </w:rPr>
        <w:t>（可提供承诺，格式详见第</w:t>
      </w:r>
      <w:r>
        <w:rPr>
          <w:rFonts w:hint="eastAsia" w:ascii="Arial" w:hAnsi="Arial" w:cs="Arial"/>
          <w:color w:val="auto"/>
          <w:sz w:val="24"/>
          <w:highlight w:val="none"/>
        </w:rPr>
        <w:t>五</w:t>
      </w:r>
      <w:r>
        <w:rPr>
          <w:rFonts w:ascii="Arial" w:hAnsi="Arial" w:cs="Arial"/>
          <w:color w:val="auto"/>
          <w:sz w:val="24"/>
          <w:highlight w:val="none"/>
        </w:rPr>
        <w:t>章）；</w:t>
      </w:r>
    </w:p>
    <w:p>
      <w:pPr>
        <w:pStyle w:val="304"/>
        <w:widowControl/>
        <w:snapToGrid w:val="0"/>
        <w:ind w:firstLine="482"/>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4、</w:t>
      </w:r>
      <w:r>
        <w:rPr>
          <w:rStyle w:val="296"/>
          <w:rFonts w:hint="eastAsia" w:hAnsi="宋体" w:cs="宋体"/>
          <w:b/>
          <w:color w:val="000000" w:themeColor="text1"/>
          <w:sz w:val="24"/>
          <w:highlight w:val="none"/>
          <w14:textFill>
            <w14:solidFill>
              <w14:schemeClr w14:val="tx1"/>
            </w14:solidFill>
          </w14:textFill>
        </w:rPr>
        <w:t>具有依法缴纳税收和社会保障资金的良好记录</w:t>
      </w:r>
      <w:r>
        <w:rPr>
          <w:rFonts w:ascii="Arial" w:hAnsi="Arial" w:cs="Arial"/>
          <w:color w:val="auto"/>
          <w:sz w:val="24"/>
          <w:highlight w:val="none"/>
        </w:rPr>
        <w:t>可提供承诺，格式详见第</w:t>
      </w:r>
      <w:r>
        <w:rPr>
          <w:rFonts w:hint="eastAsia" w:ascii="Arial" w:hAnsi="Arial" w:cs="Arial"/>
          <w:color w:val="auto"/>
          <w:sz w:val="24"/>
          <w:highlight w:val="none"/>
        </w:rPr>
        <w:t>五</w:t>
      </w:r>
      <w:r>
        <w:rPr>
          <w:rFonts w:ascii="Arial" w:hAnsi="Arial" w:cs="Arial"/>
          <w:color w:val="auto"/>
          <w:sz w:val="24"/>
          <w:highlight w:val="none"/>
        </w:rPr>
        <w:t>章）；</w:t>
      </w:r>
    </w:p>
    <w:p>
      <w:pPr>
        <w:pStyle w:val="304"/>
        <w:widowControl/>
        <w:snapToGrid w:val="0"/>
        <w:ind w:firstLine="480"/>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5、</w:t>
      </w:r>
      <w:r>
        <w:rPr>
          <w:rStyle w:val="296"/>
          <w:rFonts w:hint="eastAsia" w:hAnsi="宋体" w:cs="宋体"/>
          <w:b/>
          <w:color w:val="000000" w:themeColor="text1"/>
          <w:sz w:val="24"/>
          <w:highlight w:val="none"/>
          <w14:textFill>
            <w14:solidFill>
              <w14:schemeClr w14:val="tx1"/>
            </w14:solidFill>
          </w14:textFill>
        </w:rPr>
        <w:t>供应商具有履行合同所必需的设备和专业技术能力的承诺</w:t>
      </w:r>
      <w:r>
        <w:rPr>
          <w:rStyle w:val="296"/>
          <w:rFonts w:hint="eastAsia" w:hAnsi="宋体" w:cs="宋体"/>
          <w:color w:val="000000" w:themeColor="text1"/>
          <w:sz w:val="24"/>
          <w:highlight w:val="none"/>
          <w14:textFill>
            <w14:solidFill>
              <w14:schemeClr w14:val="tx1"/>
            </w14:solidFill>
          </w14:textFill>
        </w:rPr>
        <w:t>（可提供承诺，格式详见第五章）；</w:t>
      </w:r>
    </w:p>
    <w:p>
      <w:pPr>
        <w:pStyle w:val="304"/>
        <w:widowControl/>
        <w:snapToGrid w:val="0"/>
        <w:ind w:firstLine="480"/>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6、</w:t>
      </w:r>
      <w:r>
        <w:rPr>
          <w:rStyle w:val="296"/>
          <w:rFonts w:hint="eastAsia" w:hAnsi="宋体" w:cs="宋体"/>
          <w:b/>
          <w:color w:val="000000" w:themeColor="text1"/>
          <w:sz w:val="24"/>
          <w:highlight w:val="none"/>
          <w14:textFill>
            <w14:solidFill>
              <w14:schemeClr w14:val="tx1"/>
            </w14:solidFill>
          </w14:textFill>
        </w:rPr>
        <w:t>参加政府采购活动前3年内在经营活动中没有重大违法记录的书面声明</w:t>
      </w:r>
      <w:r>
        <w:rPr>
          <w:rStyle w:val="296"/>
          <w:rFonts w:hint="eastAsia" w:hAnsi="宋体" w:cs="宋体"/>
          <w:color w:val="000000" w:themeColor="text1"/>
          <w:sz w:val="24"/>
          <w:highlight w:val="none"/>
          <w14:textFill>
            <w14:solidFill>
              <w14:schemeClr w14:val="tx1"/>
            </w14:solidFill>
          </w14:textFill>
        </w:rPr>
        <w:t>（可提供承诺，格式详见第五章）；</w:t>
      </w:r>
    </w:p>
    <w:p>
      <w:pPr>
        <w:pStyle w:val="304"/>
        <w:widowControl/>
        <w:snapToGrid w:val="0"/>
        <w:ind w:firstLine="480"/>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7、</w:t>
      </w:r>
      <w:r>
        <w:rPr>
          <w:rStyle w:val="296"/>
          <w:rFonts w:hint="eastAsia" w:hAnsi="宋体" w:cs="宋体"/>
          <w:b/>
          <w:color w:val="000000" w:themeColor="text1"/>
          <w:sz w:val="24"/>
          <w:highlight w:val="none"/>
          <w14:textFill>
            <w14:solidFill>
              <w14:schemeClr w14:val="tx1"/>
            </w14:solidFill>
          </w14:textFill>
        </w:rPr>
        <w:t>具备法律、行政法规规定的其他条件的证明材料</w:t>
      </w:r>
      <w:r>
        <w:rPr>
          <w:rStyle w:val="296"/>
          <w:rFonts w:hint="eastAsia" w:hAnsi="宋体" w:cs="宋体"/>
          <w:color w:val="000000" w:themeColor="text1"/>
          <w:sz w:val="24"/>
          <w:highlight w:val="none"/>
          <w14:textFill>
            <w14:solidFill>
              <w14:schemeClr w14:val="tx1"/>
            </w14:solidFill>
          </w14:textFill>
        </w:rPr>
        <w:t>（可提供承诺，格式详见第五章）；</w:t>
      </w:r>
    </w:p>
    <w:p>
      <w:pPr>
        <w:pStyle w:val="253"/>
        <w:ind w:firstLine="480"/>
        <w:jc w:val="left"/>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（1）供 应 商 承 诺 其 在 截 止 至 响 应 文 件 截 止 时 间 前 未 被 列 入 “ 信 用 中 国 ” 网 站（www.creditchina.gov.cn）失信被执行人或重大税收违法案件当事人名单的供应商，未被列入中国政府采购网（www.ccgp.gov.cn）政府采购严重违法失信行为记录名单中被财政部门禁止参加政府采购活动的供应商（处罚决定规定的时间和地域范围内）</w:t>
      </w:r>
      <w:r>
        <w:rPr>
          <w:rFonts w:ascii="Arial" w:hAnsi="Arial" w:cs="Arial"/>
          <w:color w:val="000000" w:themeColor="text1"/>
          <w:sz w:val="24"/>
          <w:highlight w:val="none"/>
          <w14:textFill>
            <w14:solidFill>
              <w14:schemeClr w14:val="tx1"/>
            </w14:solidFill>
          </w14:textFill>
        </w:rPr>
        <w:t>（可提供承诺，格式详见第</w:t>
      </w:r>
      <w:r>
        <w:rPr>
          <w:rFonts w:hint="eastAsia" w:ascii="Arial" w:hAnsi="Arial" w:cs="Arial"/>
          <w:color w:val="000000" w:themeColor="text1"/>
          <w:sz w:val="24"/>
          <w:highlight w:val="none"/>
          <w14:textFill>
            <w14:solidFill>
              <w14:schemeClr w14:val="tx1"/>
            </w14:solidFill>
          </w14:textFill>
        </w:rPr>
        <w:t>五</w:t>
      </w:r>
      <w:r>
        <w:rPr>
          <w:rFonts w:ascii="Arial" w:hAnsi="Arial" w:cs="Arial"/>
          <w:color w:val="000000" w:themeColor="text1"/>
          <w:sz w:val="24"/>
          <w:highlight w:val="none"/>
          <w14:textFill>
            <w14:solidFill>
              <w14:schemeClr w14:val="tx1"/>
            </w14:solidFill>
          </w14:textFill>
        </w:rPr>
        <w:t>章）</w:t>
      </w:r>
      <w:r>
        <w:rPr>
          <w:rFonts w:hint="eastAsia" w:ascii="Arial" w:hAnsi="Arial" w:cs="Arial"/>
          <w:color w:val="000000" w:themeColor="text1"/>
          <w:sz w:val="24"/>
          <w:highlight w:val="none"/>
          <w14:textFill>
            <w14:solidFill>
              <w14:schemeClr w14:val="tx1"/>
            </w14:solidFill>
          </w14:textFill>
        </w:rPr>
        <w:t>；</w:t>
      </w:r>
    </w:p>
    <w:p>
      <w:pPr>
        <w:pStyle w:val="304"/>
        <w:widowControl/>
        <w:snapToGrid w:val="0"/>
        <w:ind w:firstLine="480"/>
        <w:jc w:val="left"/>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（2）本项目参加政府采购活动的供应商在前3年内不得具有行贿犯罪记录（可提供承诺，格式详见第五章）；</w:t>
      </w:r>
    </w:p>
    <w:p>
      <w:pPr>
        <w:pStyle w:val="253"/>
        <w:ind w:firstLine="480"/>
        <w:rPr>
          <w:rFonts w:hint="eastAsia" w:ascii="Arial" w:hAnsi="Arial" w:cs="Arial"/>
          <w:b/>
          <w:color w:val="auto"/>
          <w:sz w:val="24"/>
          <w:highlight w:val="none"/>
          <w:lang w:val="en-US" w:eastAsia="zh-CN"/>
        </w:rPr>
      </w:pPr>
      <w:r>
        <w:rPr>
          <w:rFonts w:hint="eastAsia" w:ascii="Arial" w:hAnsi="Arial" w:cs="Arial"/>
          <w:color w:val="auto"/>
          <w:sz w:val="24"/>
          <w:highlight w:val="none"/>
          <w:lang w:val="en-US" w:eastAsia="zh-CN"/>
        </w:rPr>
        <w:t xml:space="preserve">8. </w:t>
      </w:r>
      <w:r>
        <w:rPr>
          <w:rFonts w:hint="eastAsia" w:ascii="Arial" w:hAnsi="Arial" w:cs="Arial"/>
          <w:b/>
          <w:color w:val="auto"/>
          <w:sz w:val="24"/>
          <w:highlight w:val="none"/>
          <w:lang w:val="en-US" w:eastAsia="zh-Hans"/>
        </w:rPr>
        <w:t>具备涉密信息系统集成</w:t>
      </w:r>
      <w:r>
        <w:rPr>
          <w:rFonts w:hint="eastAsia" w:ascii="Arial" w:hAnsi="Arial" w:cs="Arial"/>
          <w:b/>
          <w:color w:val="auto"/>
          <w:sz w:val="24"/>
          <w:highlight w:val="none"/>
          <w:lang w:val="en-US" w:eastAsia="zh-CN"/>
        </w:rPr>
        <w:t>（总体集成或软件开发）</w:t>
      </w:r>
      <w:r>
        <w:rPr>
          <w:rFonts w:hint="eastAsia" w:ascii="Arial" w:hAnsi="Arial" w:cs="Arial"/>
          <w:b/>
          <w:color w:val="auto"/>
          <w:sz w:val="24"/>
          <w:highlight w:val="none"/>
          <w:lang w:val="en-US" w:eastAsia="zh-Hans"/>
        </w:rPr>
        <w:t>乙级</w:t>
      </w:r>
      <w:r>
        <w:rPr>
          <w:rFonts w:hint="eastAsia" w:ascii="Arial" w:hAnsi="Arial" w:cs="Arial"/>
          <w:b/>
          <w:color w:val="auto"/>
          <w:sz w:val="24"/>
          <w:highlight w:val="none"/>
          <w:lang w:val="en-US" w:eastAsia="zh-CN"/>
        </w:rPr>
        <w:t>及以上</w:t>
      </w:r>
      <w:r>
        <w:rPr>
          <w:rFonts w:hint="eastAsia" w:ascii="Arial" w:hAnsi="Arial" w:cs="Arial"/>
          <w:b/>
          <w:color w:val="auto"/>
          <w:sz w:val="24"/>
          <w:highlight w:val="none"/>
          <w:lang w:val="en-US" w:eastAsia="zh-Hans"/>
        </w:rPr>
        <w:t>资质</w:t>
      </w:r>
      <w:r>
        <w:rPr>
          <w:rFonts w:hint="eastAsia" w:ascii="Arial" w:hAnsi="Arial" w:cs="Arial"/>
          <w:b/>
          <w:color w:val="auto"/>
          <w:sz w:val="24"/>
          <w:highlight w:val="none"/>
          <w:lang w:val="en-US" w:eastAsia="zh-CN"/>
        </w:rPr>
        <w:t>。</w:t>
      </w:r>
    </w:p>
    <w:p>
      <w:pPr>
        <w:pStyle w:val="253"/>
        <w:ind w:firstLine="480"/>
        <w:rPr>
          <w:rFonts w:hint="default" w:ascii="Arial" w:hAnsi="Arial" w:cs="Arial"/>
          <w:b/>
          <w:color w:val="auto"/>
          <w:sz w:val="24"/>
          <w:highlight w:val="none"/>
          <w:lang w:val="en-US" w:eastAsia="zh-CN"/>
        </w:rPr>
      </w:pPr>
    </w:p>
    <w:p>
      <w:pPr>
        <w:pStyle w:val="304"/>
        <w:widowControl/>
        <w:snapToGrid w:val="0"/>
        <w:ind w:firstLine="480"/>
        <w:rPr>
          <w:rStyle w:val="296"/>
          <w:rFonts w:hAnsi="宋体" w:cs="宋体"/>
          <w:color w:val="000000" w:themeColor="text1"/>
          <w:sz w:val="24"/>
          <w:szCs w:val="22"/>
          <w:highlight w:val="none"/>
          <w14:textFill>
            <w14:solidFill>
              <w14:schemeClr w14:val="tx1"/>
            </w14:solidFill>
          </w14:textFill>
        </w:rPr>
      </w:pPr>
      <w:r>
        <w:rPr>
          <w:rStyle w:val="296"/>
          <w:rFonts w:hint="eastAsia" w:hAnsi="宋体" w:cs="宋体"/>
          <w:color w:val="000000" w:themeColor="text1"/>
          <w:sz w:val="24"/>
          <w:szCs w:val="22"/>
          <w:highlight w:val="none"/>
          <w14:textFill>
            <w14:solidFill>
              <w14:schemeClr w14:val="tx1"/>
            </w14:solidFill>
          </w14:textFill>
        </w:rPr>
        <w:t>注：1、采购人或采购代理机构将于资格审查时在‘信用中国’网站、‘中国政府采购网’网站等渠道对供应商进行信用记录查询，</w:t>
      </w:r>
      <w:r>
        <w:rPr>
          <w:rStyle w:val="296"/>
          <w:rFonts w:hint="eastAsia" w:hAnsi="宋体" w:cs="宋体"/>
          <w:color w:val="000000" w:themeColor="text1"/>
          <w:sz w:val="24"/>
          <w:highlight w:val="none"/>
          <w14:textFill>
            <w14:solidFill>
              <w14:schemeClr w14:val="tx1"/>
            </w14:solidFill>
          </w14:textFill>
        </w:rPr>
        <w:t>并将查询记录存档。</w:t>
      </w:r>
      <w:r>
        <w:rPr>
          <w:rStyle w:val="296"/>
          <w:rFonts w:hint="eastAsia" w:hAnsi="宋体" w:cs="宋体"/>
          <w:color w:val="000000" w:themeColor="text1"/>
          <w:sz w:val="24"/>
          <w:szCs w:val="22"/>
          <w:highlight w:val="none"/>
          <w14:textFill>
            <w14:solidFill>
              <w14:schemeClr w14:val="tx1"/>
            </w14:solidFill>
          </w14:textFill>
        </w:rPr>
        <w:t>凡被列入失信被执行人、重大税收违法案件当事人名单、政府采购严重违法失信行为记录名单的，视为存在不良信用记录，参与本项目的将被视为无效投标。 （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304"/>
        <w:widowControl/>
        <w:snapToGrid w:val="0"/>
        <w:ind w:firstLineChars="0"/>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2、重大违法记录是指供应商因违法经营受到刑事处罚或者责令停产停业、吊销许可证或者执照、较大数额罚款等行政处罚。</w:t>
      </w:r>
    </w:p>
    <w:p>
      <w:pPr>
        <w:pStyle w:val="304"/>
        <w:widowControl/>
        <w:snapToGrid w:val="0"/>
        <w:ind w:firstLineChars="0"/>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3、</w:t>
      </w:r>
      <w:r>
        <w:rPr>
          <w:rStyle w:val="296"/>
          <w:sz w:val="24"/>
          <w:highlight w:val="none"/>
        </w:rPr>
        <w:t>本项目确定供应商重大违法记录中较大数额罚款的金额标准为：</w:t>
      </w:r>
      <w:r>
        <w:rPr>
          <w:rStyle w:val="296"/>
          <w:rFonts w:hint="eastAsia"/>
          <w:sz w:val="24"/>
          <w:highlight w:val="none"/>
        </w:rPr>
        <w:t>200万元以上的罚款，法律、行政法规以及国务院有关部门明确规定相关领域“较大数额罚款”标准高于200万元的，从其规定</w:t>
      </w:r>
      <w:r>
        <w:rPr>
          <w:rStyle w:val="296"/>
          <w:sz w:val="24"/>
          <w:highlight w:val="none"/>
        </w:rPr>
        <w:t>。</w:t>
      </w:r>
    </w:p>
    <w:p>
      <w:pPr>
        <w:snapToGrid w:val="0"/>
        <w:spacing w:line="360" w:lineRule="auto"/>
        <w:ind w:firstLine="482" w:firstLineChars="200"/>
        <w:textAlignment w:val="baseline"/>
        <w:outlineLvl w:val="2"/>
        <w:rPr>
          <w:rStyle w:val="296"/>
          <w:rFonts w:hAnsi="宋体" w:cs="宋体"/>
          <w:b/>
          <w:bCs/>
          <w:color w:val="000000" w:themeColor="text1"/>
          <w:sz w:val="24"/>
          <w:highlight w:val="none"/>
          <w14:textFill>
            <w14:solidFill>
              <w14:schemeClr w14:val="tx1"/>
            </w14:solidFill>
          </w14:textFill>
        </w:rPr>
      </w:pPr>
      <w:r>
        <w:rPr>
          <w:rStyle w:val="296"/>
          <w:rFonts w:hint="eastAsia" w:hAnsi="宋体" w:cs="宋体"/>
          <w:b/>
          <w:bCs/>
          <w:color w:val="000000" w:themeColor="text1"/>
          <w:sz w:val="24"/>
          <w:highlight w:val="none"/>
          <w14:textFill>
            <w14:solidFill>
              <w14:schemeClr w14:val="tx1"/>
            </w14:solidFill>
          </w14:textFill>
        </w:rPr>
        <w:t>（二）资质性要求相关证明材料：无</w:t>
      </w:r>
    </w:p>
    <w:p>
      <w:pPr>
        <w:snapToGrid w:val="0"/>
        <w:spacing w:line="360" w:lineRule="auto"/>
        <w:ind w:firstLine="482" w:firstLineChars="200"/>
        <w:textAlignment w:val="baseline"/>
        <w:outlineLvl w:val="2"/>
        <w:rPr>
          <w:rStyle w:val="296"/>
          <w:rFonts w:hAnsi="宋体" w:cs="宋体"/>
          <w:b/>
          <w:bCs/>
          <w:color w:val="000000" w:themeColor="text1"/>
          <w:sz w:val="24"/>
          <w:highlight w:val="none"/>
          <w14:textFill>
            <w14:solidFill>
              <w14:schemeClr w14:val="tx1"/>
            </w14:solidFill>
          </w14:textFill>
        </w:rPr>
      </w:pPr>
      <w:r>
        <w:rPr>
          <w:rStyle w:val="296"/>
          <w:rFonts w:hint="eastAsia" w:hAnsi="宋体" w:cs="宋体"/>
          <w:b/>
          <w:bCs/>
          <w:color w:val="000000" w:themeColor="text1"/>
          <w:sz w:val="24"/>
          <w:highlight w:val="none"/>
          <w14:textFill>
            <w14:solidFill>
              <w14:schemeClr w14:val="tx1"/>
            </w14:solidFill>
          </w14:textFill>
        </w:rPr>
        <w:t>（三）其他类似效力要求相关证明材料：</w:t>
      </w:r>
    </w:p>
    <w:p>
      <w:pPr>
        <w:snapToGrid w:val="0"/>
        <w:spacing w:line="360" w:lineRule="auto"/>
        <w:ind w:firstLine="480" w:firstLineChars="200"/>
        <w:textAlignment w:val="baseline"/>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（1）保函原件或银行下账回单复印件（注：①保证金交纳金额符合磋商文件要求。）</w:t>
      </w:r>
    </w:p>
    <w:p>
      <w:pPr>
        <w:snapToGrid w:val="0"/>
        <w:spacing w:line="360" w:lineRule="auto"/>
        <w:ind w:firstLine="480" w:firstLineChars="200"/>
        <w:textAlignment w:val="baseline"/>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（2）法定代表人/单位负责人身份证明材料复印件。</w:t>
      </w:r>
    </w:p>
    <w:p>
      <w:pPr>
        <w:snapToGrid w:val="0"/>
        <w:spacing w:line="360" w:lineRule="auto"/>
        <w:ind w:firstLine="480" w:firstLineChars="200"/>
        <w:textAlignment w:val="baseline"/>
        <w:rPr>
          <w:rStyle w:val="296"/>
          <w:rFonts w:hAnsi="宋体" w:cs="宋体"/>
          <w:color w:val="000000" w:themeColor="text1"/>
          <w:sz w:val="24"/>
          <w:highlight w:val="none"/>
          <w14:textFill>
            <w14:solidFill>
              <w14:schemeClr w14:val="tx1"/>
            </w14:solidFill>
          </w14:textFill>
        </w:rPr>
      </w:pPr>
      <w:r>
        <w:rPr>
          <w:rStyle w:val="296"/>
          <w:rFonts w:hint="eastAsia" w:hAnsi="宋体" w:cs="宋体"/>
          <w:color w:val="000000" w:themeColor="text1"/>
          <w:sz w:val="24"/>
          <w:highlight w:val="none"/>
          <w14:textFill>
            <w14:solidFill>
              <w14:schemeClr w14:val="tx1"/>
            </w14:solidFill>
          </w14:textFill>
        </w:rPr>
        <w:t>（3）法定代表人/单位负责人授权代理书原件及代理人身份证明材料复印件（注：①法定代表人/单位负责人授权代理书原件</w:t>
      </w:r>
      <w:r>
        <w:rPr>
          <w:rStyle w:val="296"/>
          <w:rFonts w:hint="eastAsia" w:hAnsi="宋体" w:cs="宋体"/>
          <w:b/>
          <w:bCs/>
          <w:color w:val="000000" w:themeColor="text1"/>
          <w:sz w:val="24"/>
          <w:highlight w:val="none"/>
          <w14:textFill>
            <w14:solidFill>
              <w14:schemeClr w14:val="tx1"/>
            </w14:solidFill>
          </w14:textFill>
        </w:rPr>
        <w:t>需加盖公章</w:t>
      </w:r>
      <w:r>
        <w:rPr>
          <w:rStyle w:val="296"/>
          <w:rFonts w:hint="eastAsia" w:hAnsi="宋体" w:cs="宋体"/>
          <w:color w:val="000000" w:themeColor="text1"/>
          <w:sz w:val="24"/>
          <w:highlight w:val="none"/>
          <w14:textFill>
            <w14:solidFill>
              <w14:schemeClr w14:val="tx1"/>
            </w14:solidFill>
          </w14:textFill>
        </w:rPr>
        <w:t>；②如响应文件均由供应商法定代表人/单位负责人签字的且法定代表人/单位负责人本人参与磋商的，则可不提供。）。</w:t>
      </w:r>
    </w:p>
    <w:p>
      <w:pPr>
        <w:pStyle w:val="303"/>
        <w:widowControl/>
        <w:snapToGrid w:val="0"/>
        <w:spacing w:before="0" w:after="0" w:line="360" w:lineRule="auto"/>
        <w:ind w:firstLine="480" w:firstLineChars="200"/>
        <w:outlineLvl w:val="1"/>
        <w:rPr>
          <w:rStyle w:val="296"/>
          <w:rFonts w:hAnsi="宋体" w:cs="宋体"/>
          <w:color w:val="000000" w:themeColor="text1"/>
          <w:sz w:val="24"/>
          <w:szCs w:val="24"/>
          <w:highlight w:val="none"/>
          <w14:textFill>
            <w14:solidFill>
              <w14:schemeClr w14:val="tx1"/>
            </w14:solidFill>
          </w14:textFill>
        </w:rPr>
      </w:pPr>
      <w:r>
        <w:rPr>
          <w:rStyle w:val="296"/>
          <w:rFonts w:hint="eastAsia" w:hAnsi="宋体" w:cs="宋体"/>
          <w:b w:val="0"/>
          <w:bCs w:val="0"/>
          <w:color w:val="000000" w:themeColor="text1"/>
          <w:sz w:val="24"/>
          <w:szCs w:val="24"/>
          <w:highlight w:val="none"/>
          <w14:textFill>
            <w14:solidFill>
              <w14:schemeClr w14:val="tx1"/>
            </w14:solidFill>
          </w14:textFill>
        </w:rPr>
        <w:t>二、</w:t>
      </w:r>
      <w:r>
        <w:rPr>
          <w:rStyle w:val="296"/>
          <w:rFonts w:hint="eastAsia" w:hAnsi="宋体" w:cs="宋体"/>
          <w:color w:val="000000" w:themeColor="text1"/>
          <w:sz w:val="24"/>
          <w:szCs w:val="24"/>
          <w:highlight w:val="none"/>
          <w14:textFill>
            <w14:solidFill>
              <w14:schemeClr w14:val="tx1"/>
            </w14:solidFill>
          </w14:textFill>
        </w:rPr>
        <w:t>应当提供的投标产品的资格、资质性及其他具有类似效力的要求的相关证明材料</w:t>
      </w:r>
    </w:p>
    <w:p>
      <w:pPr>
        <w:snapToGrid w:val="0"/>
        <w:spacing w:line="360" w:lineRule="auto"/>
        <w:ind w:firstLine="482" w:firstLineChars="200"/>
        <w:textAlignment w:val="baseline"/>
        <w:rPr>
          <w:rStyle w:val="296"/>
          <w:rFonts w:hAnsi="宋体" w:cs="宋体"/>
          <w:b/>
          <w:bCs/>
          <w:color w:val="000000" w:themeColor="text1"/>
          <w:sz w:val="24"/>
          <w:highlight w:val="none"/>
          <w14:textFill>
            <w14:solidFill>
              <w14:schemeClr w14:val="tx1"/>
            </w14:solidFill>
          </w14:textFill>
        </w:rPr>
      </w:pPr>
      <w:r>
        <w:rPr>
          <w:rStyle w:val="296"/>
          <w:rFonts w:hint="eastAsia" w:hAnsi="宋体" w:cs="宋体"/>
          <w:b/>
          <w:bCs/>
          <w:color w:val="000000" w:themeColor="text1"/>
          <w:sz w:val="24"/>
          <w:highlight w:val="none"/>
          <w14:textFill>
            <w14:solidFill>
              <w14:schemeClr w14:val="tx1"/>
            </w14:solidFill>
          </w14:textFill>
        </w:rPr>
        <w:t>（一）资格要求相关证明材料：</w:t>
      </w:r>
      <w:r>
        <w:rPr>
          <w:rStyle w:val="296"/>
          <w:rFonts w:hint="eastAsia" w:hAnsi="宋体" w:cs="宋体"/>
          <w:color w:val="000000" w:themeColor="text1"/>
          <w:sz w:val="24"/>
          <w:highlight w:val="none"/>
          <w14:textFill>
            <w14:solidFill>
              <w14:schemeClr w14:val="tx1"/>
            </w14:solidFill>
          </w14:textFill>
        </w:rPr>
        <w:t>无</w:t>
      </w:r>
    </w:p>
    <w:p>
      <w:pPr>
        <w:snapToGrid w:val="0"/>
        <w:spacing w:line="360" w:lineRule="auto"/>
        <w:ind w:firstLine="482" w:firstLineChars="200"/>
        <w:textAlignment w:val="baseline"/>
        <w:rPr>
          <w:rStyle w:val="296"/>
          <w:rFonts w:hAnsi="宋体" w:cs="宋体"/>
          <w:b/>
          <w:bCs/>
          <w:color w:val="000000" w:themeColor="text1"/>
          <w:sz w:val="24"/>
          <w:highlight w:val="none"/>
          <w14:textFill>
            <w14:solidFill>
              <w14:schemeClr w14:val="tx1"/>
            </w14:solidFill>
          </w14:textFill>
        </w:rPr>
      </w:pPr>
      <w:r>
        <w:rPr>
          <w:rStyle w:val="296"/>
          <w:rFonts w:hint="eastAsia" w:hAnsi="宋体" w:cs="宋体"/>
          <w:b/>
          <w:bCs/>
          <w:color w:val="000000" w:themeColor="text1"/>
          <w:sz w:val="24"/>
          <w:highlight w:val="none"/>
          <w14:textFill>
            <w14:solidFill>
              <w14:schemeClr w14:val="tx1"/>
            </w14:solidFill>
          </w14:textFill>
        </w:rPr>
        <w:t>（二）资质性要求相关证明材料：无</w:t>
      </w:r>
    </w:p>
    <w:p>
      <w:pPr>
        <w:snapToGrid w:val="0"/>
        <w:spacing w:line="360" w:lineRule="auto"/>
        <w:ind w:firstLine="482" w:firstLineChars="200"/>
        <w:textAlignment w:val="baseline"/>
        <w:rPr>
          <w:rStyle w:val="296"/>
          <w:rFonts w:hAnsi="宋体" w:cs="宋体"/>
          <w:b/>
          <w:bCs/>
          <w:color w:val="000000" w:themeColor="text1"/>
          <w:sz w:val="24"/>
          <w:highlight w:val="none"/>
          <w14:textFill>
            <w14:solidFill>
              <w14:schemeClr w14:val="tx1"/>
            </w14:solidFill>
          </w14:textFill>
        </w:rPr>
      </w:pPr>
      <w:r>
        <w:rPr>
          <w:rStyle w:val="296"/>
          <w:rFonts w:hint="eastAsia" w:hAnsi="宋体" w:cs="宋体"/>
          <w:b/>
          <w:bCs/>
          <w:color w:val="000000" w:themeColor="text1"/>
          <w:sz w:val="24"/>
          <w:highlight w:val="none"/>
          <w14:textFill>
            <w14:solidFill>
              <w14:schemeClr w14:val="tx1"/>
            </w14:solidFill>
          </w14:textFill>
        </w:rPr>
        <w:t>（三）其他类似效力要求相关证明材料：无</w:t>
      </w:r>
    </w:p>
    <w:p>
      <w:pPr>
        <w:spacing w:line="360" w:lineRule="auto"/>
        <w:ind w:firstLine="482" w:firstLineChars="200"/>
        <w:rPr>
          <w:rFonts w:ascii="Times New Roman" w:hAnsi="Times New Roman"/>
          <w:color w:val="auto"/>
          <w:sz w:val="36"/>
          <w:szCs w:val="36"/>
          <w:highlight w:val="none"/>
        </w:rPr>
        <w:sectPr>
          <w:pgSz w:w="11906" w:h="16838"/>
          <w:pgMar w:top="1440" w:right="1800" w:bottom="1440" w:left="1800" w:header="851" w:footer="992" w:gutter="0"/>
          <w:cols w:space="720" w:num="1"/>
          <w:docGrid w:type="lines" w:linePitch="312" w:charSpace="0"/>
        </w:sectPr>
      </w:pPr>
      <w:r>
        <w:rPr>
          <w:rStyle w:val="296"/>
          <w:rFonts w:hint="eastAsia" w:hAnsi="宋体" w:cs="宋体"/>
          <w:b/>
          <w:bCs/>
          <w:color w:val="000000" w:themeColor="text1"/>
          <w:sz w:val="24"/>
          <w:highlight w:val="none"/>
          <w14:textFill>
            <w14:solidFill>
              <w14:schemeClr w14:val="tx1"/>
            </w14:solidFill>
          </w14:textFill>
        </w:rPr>
        <w:t>注：1.供应商为自然人的，上述资格要求相关证明材料:2-4可不提供，但应提供中国人民银行出具的信用证明。</w:t>
      </w:r>
    </w:p>
    <w:p>
      <w:pPr>
        <w:tabs>
          <w:tab w:val="left" w:pos="425"/>
          <w:tab w:val="left" w:pos="4265"/>
          <w:tab w:val="left" w:pos="5225"/>
        </w:tabs>
        <w:spacing w:line="360" w:lineRule="auto"/>
        <w:jc w:val="center"/>
        <w:outlineLvl w:val="0"/>
        <w:rPr>
          <w:rFonts w:ascii="Times New Roman" w:hAnsi="Times New Roman" w:eastAsia="黑体"/>
          <w:color w:val="auto"/>
          <w:sz w:val="32"/>
          <w:szCs w:val="32"/>
          <w:highlight w:val="none"/>
        </w:rPr>
      </w:pPr>
      <w:bookmarkStart w:id="85" w:name="_Toc18315"/>
      <w:r>
        <w:rPr>
          <w:rFonts w:ascii="Times New Roman" w:hAnsi="Times New Roman" w:eastAsia="黑体"/>
          <w:color w:val="auto"/>
          <w:sz w:val="32"/>
          <w:szCs w:val="32"/>
          <w:highlight w:val="none"/>
        </w:rPr>
        <w:t>第四章 采购项目技术、服条及其他商务要求</w:t>
      </w:r>
      <w:bookmarkEnd w:id="85"/>
    </w:p>
    <w:p>
      <w:pPr>
        <w:rPr>
          <w:rFonts w:ascii="Times New Roman" w:hAnsi="Times New Roman"/>
          <w:color w:val="auto"/>
          <w:sz w:val="32"/>
          <w:szCs w:val="32"/>
          <w:highlight w:val="none"/>
        </w:rPr>
      </w:pPr>
    </w:p>
    <w:p>
      <w:pPr>
        <w:pStyle w:val="2"/>
        <w:numPr>
          <w:ilvl w:val="0"/>
          <w:numId w:val="18"/>
        </w:numPr>
        <w:jc w:val="center"/>
        <w:outlineLvl w:val="1"/>
        <w:rPr>
          <w:rFonts w:ascii="Times New Roman" w:eastAsiaTheme="minorEastAsia"/>
          <w:b/>
          <w:bCs/>
          <w:color w:val="auto"/>
          <w:sz w:val="32"/>
          <w:szCs w:val="32"/>
          <w:highlight w:val="none"/>
        </w:rPr>
      </w:pPr>
      <w:bookmarkStart w:id="86" w:name="_Toc574"/>
      <w:r>
        <w:rPr>
          <w:rFonts w:hint="eastAsia" w:ascii="Times New Roman" w:eastAsiaTheme="minorEastAsia"/>
          <w:b/>
          <w:bCs/>
          <w:color w:val="auto"/>
          <w:sz w:val="32"/>
          <w:szCs w:val="32"/>
          <w:highlight w:val="none"/>
          <w:lang w:eastAsia="zh-CN"/>
        </w:rPr>
        <w:t>服务</w:t>
      </w:r>
      <w:r>
        <w:rPr>
          <w:rFonts w:ascii="Times New Roman" w:eastAsiaTheme="minorEastAsia"/>
          <w:b/>
          <w:bCs/>
          <w:color w:val="auto"/>
          <w:sz w:val="32"/>
          <w:szCs w:val="32"/>
          <w:highlight w:val="none"/>
        </w:rPr>
        <w:t>需求一览表</w:t>
      </w:r>
      <w:bookmarkEnd w:id="86"/>
    </w:p>
    <w:p>
      <w:pPr>
        <w:pStyle w:val="2"/>
        <w:rPr>
          <w:rFonts w:ascii="Times New Roman" w:eastAsia="黑体"/>
          <w:color w:val="auto"/>
          <w:sz w:val="36"/>
          <w:szCs w:val="36"/>
          <w:highlight w:val="none"/>
        </w:rPr>
      </w:pPr>
    </w:p>
    <w:tbl>
      <w:tblPr>
        <w:tblStyle w:val="46"/>
        <w:tblW w:w="46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3729"/>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89" w:type="pct"/>
            <w:vAlign w:val="center"/>
          </w:tcPr>
          <w:p>
            <w:pPr>
              <w:spacing w:line="360" w:lineRule="auto"/>
              <w:jc w:val="center"/>
              <w:rPr>
                <w:rFonts w:ascii="Times New Roman" w:hAnsi="Times New Roman"/>
                <w:color w:val="auto"/>
                <w:sz w:val="24"/>
                <w:szCs w:val="22"/>
                <w:highlight w:val="none"/>
              </w:rPr>
            </w:pPr>
            <w:bookmarkStart w:id="87" w:name="_Toc417053567"/>
            <w:bookmarkStart w:id="88" w:name="_Toc266885136"/>
            <w:r>
              <w:rPr>
                <w:rFonts w:ascii="Times New Roman" w:hAnsi="Times New Roman"/>
                <w:color w:val="auto"/>
                <w:sz w:val="24"/>
                <w:szCs w:val="22"/>
                <w:highlight w:val="none"/>
              </w:rPr>
              <w:t>名称</w:t>
            </w:r>
          </w:p>
        </w:tc>
        <w:tc>
          <w:tcPr>
            <w:tcW w:w="2114" w:type="pct"/>
            <w:vAlign w:val="center"/>
          </w:tcPr>
          <w:p>
            <w:pPr>
              <w:spacing w:line="360" w:lineRule="auto"/>
              <w:jc w:val="center"/>
              <w:rPr>
                <w:rFonts w:hint="eastAsia" w:ascii="Times New Roman" w:hAnsi="Times New Roman" w:eastAsia="宋体"/>
                <w:color w:val="auto"/>
                <w:sz w:val="24"/>
                <w:szCs w:val="22"/>
                <w:highlight w:val="none"/>
                <w:lang w:eastAsia="zh-CN"/>
              </w:rPr>
            </w:pPr>
            <w:r>
              <w:rPr>
                <w:rFonts w:hint="eastAsia"/>
                <w:color w:val="auto"/>
                <w:spacing w:val="-4"/>
                <w:sz w:val="24"/>
                <w:highlight w:val="none"/>
              </w:rPr>
              <w:t>★</w:t>
            </w:r>
            <w:r>
              <w:rPr>
                <w:rFonts w:hint="eastAsia" w:ascii="Times New Roman" w:hAnsi="Times New Roman"/>
                <w:color w:val="auto"/>
                <w:sz w:val="24"/>
                <w:szCs w:val="22"/>
                <w:highlight w:val="none"/>
                <w:lang w:eastAsia="zh-CN"/>
              </w:rPr>
              <w:t>合同履行期限</w:t>
            </w:r>
          </w:p>
        </w:tc>
        <w:tc>
          <w:tcPr>
            <w:tcW w:w="1496" w:type="pct"/>
            <w:vAlign w:val="center"/>
          </w:tcPr>
          <w:p>
            <w:pPr>
              <w:spacing w:line="360" w:lineRule="auto"/>
              <w:jc w:val="center"/>
              <w:rPr>
                <w:rFonts w:hint="eastAsia" w:ascii="Times New Roman" w:hAnsi="Times New Roman" w:eastAsia="宋体"/>
                <w:color w:val="auto"/>
                <w:sz w:val="24"/>
                <w:szCs w:val="22"/>
                <w:highlight w:val="none"/>
                <w:lang w:eastAsia="zh-CN"/>
              </w:rPr>
            </w:pPr>
            <w:r>
              <w:rPr>
                <w:rFonts w:hint="eastAsia" w:hAnsi="宋体" w:cs="宋体"/>
                <w:b/>
                <w:color w:val="auto"/>
                <w:sz w:val="24"/>
                <w:szCs w:val="24"/>
                <w:highlight w:val="none"/>
              </w:rPr>
              <w:t>★</w:t>
            </w:r>
            <w:r>
              <w:rPr>
                <w:rFonts w:hint="eastAsia" w:ascii="Times New Roman" w:hAnsi="Times New Roman"/>
                <w:color w:val="auto"/>
                <w:sz w:val="24"/>
                <w:szCs w:val="22"/>
                <w:highlight w:val="none"/>
                <w:lang w:eastAsia="zh-CN"/>
              </w:rPr>
              <w:t>服务（交付）地点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389" w:type="pct"/>
            <w:vAlign w:val="center"/>
          </w:tcPr>
          <w:p>
            <w:pPr>
              <w:spacing w:line="360" w:lineRule="auto"/>
              <w:jc w:val="center"/>
              <w:rPr>
                <w:rFonts w:hint="eastAsia" w:ascii="Times New Roman" w:hAnsi="Times New Roman" w:eastAsia="宋体"/>
                <w:color w:val="auto"/>
                <w:sz w:val="24"/>
                <w:szCs w:val="22"/>
                <w:highlight w:val="none"/>
                <w:lang w:eastAsia="zh-CN"/>
              </w:rPr>
            </w:pPr>
            <w:r>
              <w:rPr>
                <w:rFonts w:hint="eastAsia" w:ascii="Times New Roman" w:hAnsi="Times New Roman"/>
                <w:color w:val="auto"/>
                <w:sz w:val="24"/>
                <w:szCs w:val="22"/>
                <w:highlight w:val="none"/>
                <w:lang w:eastAsia="zh-CN"/>
              </w:rPr>
              <w:t>GJB 5000B换版服务</w:t>
            </w:r>
          </w:p>
        </w:tc>
        <w:tc>
          <w:tcPr>
            <w:tcW w:w="2114" w:type="pct"/>
            <w:vAlign w:val="center"/>
          </w:tcPr>
          <w:p>
            <w:pPr>
              <w:spacing w:line="360" w:lineRule="auto"/>
              <w:jc w:val="center"/>
              <w:rPr>
                <w:color w:val="auto"/>
                <w:highlight w:val="none"/>
              </w:rPr>
            </w:pPr>
            <w:r>
              <w:rPr>
                <w:rFonts w:hint="eastAsia"/>
                <w:color w:val="auto"/>
                <w:sz w:val="24"/>
                <w:szCs w:val="24"/>
                <w:highlight w:val="none"/>
                <w:lang w:eastAsia="zh-CN"/>
              </w:rPr>
              <w:t>本项目以采购人通过GJB 5000B换版认证为最终交付节点</w:t>
            </w:r>
          </w:p>
        </w:tc>
        <w:tc>
          <w:tcPr>
            <w:tcW w:w="1496" w:type="pct"/>
            <w:vAlign w:val="center"/>
          </w:tcPr>
          <w:p>
            <w:pPr>
              <w:spacing w:line="360" w:lineRule="auto"/>
              <w:jc w:val="center"/>
              <w:rPr>
                <w:rFonts w:ascii="Times New Roman" w:hAnsi="Times New Roman"/>
                <w:color w:val="auto"/>
                <w:sz w:val="24"/>
                <w:szCs w:val="22"/>
                <w:highlight w:val="none"/>
              </w:rPr>
            </w:pPr>
            <w:r>
              <w:rPr>
                <w:rFonts w:hint="eastAsia" w:cs="宋体"/>
                <w:color w:val="auto"/>
                <w:sz w:val="24"/>
                <w:szCs w:val="24"/>
                <w:highlight w:val="none"/>
                <w:lang w:eastAsia="zh-CN"/>
              </w:rPr>
              <w:t>绵阳市采购人指定地点</w:t>
            </w:r>
          </w:p>
        </w:tc>
      </w:tr>
    </w:tbl>
    <w:p>
      <w:pPr>
        <w:tabs>
          <w:tab w:val="left" w:pos="425"/>
          <w:tab w:val="left" w:pos="4265"/>
          <w:tab w:val="left" w:pos="5225"/>
        </w:tabs>
        <w:spacing w:line="360" w:lineRule="auto"/>
        <w:rPr>
          <w:rFonts w:ascii="Times New Roman" w:hAnsi="Times New Roman"/>
          <w:color w:val="auto"/>
          <w:sz w:val="32"/>
          <w:szCs w:val="32"/>
          <w:highlight w:val="none"/>
        </w:rPr>
      </w:pPr>
    </w:p>
    <w:p>
      <w:pPr>
        <w:numPr>
          <w:ilvl w:val="0"/>
          <w:numId w:val="19"/>
        </w:numPr>
        <w:tabs>
          <w:tab w:val="left" w:pos="425"/>
          <w:tab w:val="left" w:pos="4265"/>
          <w:tab w:val="left" w:pos="5225"/>
        </w:tabs>
        <w:spacing w:line="360" w:lineRule="auto"/>
        <w:jc w:val="center"/>
        <w:rPr>
          <w:rFonts w:ascii="Times New Roman" w:hAnsi="Times New Roman"/>
          <w:color w:val="auto"/>
          <w:sz w:val="32"/>
          <w:szCs w:val="32"/>
          <w:highlight w:val="none"/>
        </w:rPr>
        <w:sectPr>
          <w:pgSz w:w="11906" w:h="16838"/>
          <w:pgMar w:top="1134" w:right="1134" w:bottom="851" w:left="1474" w:header="851" w:footer="992" w:gutter="0"/>
          <w:cols w:space="720" w:num="1"/>
          <w:docGrid w:linePitch="312" w:charSpace="0"/>
        </w:sectPr>
      </w:pPr>
    </w:p>
    <w:bookmarkEnd w:id="87"/>
    <w:bookmarkEnd w:id="88"/>
    <w:p>
      <w:pPr>
        <w:numPr>
          <w:ilvl w:val="0"/>
          <w:numId w:val="20"/>
        </w:numPr>
        <w:snapToGrid w:val="0"/>
        <w:spacing w:line="360" w:lineRule="auto"/>
        <w:jc w:val="center"/>
        <w:outlineLvl w:val="1"/>
        <w:rPr>
          <w:rFonts w:ascii="Times New Roman" w:hAnsi="Times New Roman" w:eastAsiaTheme="majorEastAsia"/>
          <w:color w:val="auto"/>
          <w:sz w:val="32"/>
          <w:szCs w:val="32"/>
          <w:highlight w:val="none"/>
        </w:rPr>
      </w:pPr>
      <w:bookmarkStart w:id="89" w:name="_Toc327324320"/>
      <w:r>
        <w:rPr>
          <w:rFonts w:ascii="Times New Roman" w:hAnsi="Times New Roman" w:eastAsiaTheme="majorEastAsia"/>
          <w:color w:val="auto"/>
          <w:sz w:val="32"/>
          <w:szCs w:val="32"/>
          <w:highlight w:val="none"/>
        </w:rPr>
        <w:t>技术、</w:t>
      </w:r>
      <w:r>
        <w:rPr>
          <w:rFonts w:hint="eastAsia" w:ascii="Times New Roman" w:hAnsi="Times New Roman" w:eastAsiaTheme="majorEastAsia"/>
          <w:color w:val="auto"/>
          <w:sz w:val="32"/>
          <w:szCs w:val="32"/>
          <w:highlight w:val="none"/>
          <w:lang w:val="en-US" w:eastAsia="zh-CN"/>
        </w:rPr>
        <w:t>服务</w:t>
      </w:r>
      <w:r>
        <w:rPr>
          <w:rFonts w:ascii="Times New Roman" w:hAnsi="Times New Roman" w:eastAsiaTheme="majorEastAsia"/>
          <w:color w:val="auto"/>
          <w:sz w:val="32"/>
          <w:szCs w:val="32"/>
          <w:highlight w:val="none"/>
        </w:rPr>
        <w:t>及其他商务要求</w:t>
      </w:r>
    </w:p>
    <w:p>
      <w:pPr>
        <w:keepNext w:val="0"/>
        <w:keepLines w:val="0"/>
        <w:pageBreakBefore w:val="0"/>
        <w:widowControl w:val="0"/>
        <w:kinsoku/>
        <w:wordWrap/>
        <w:overflowPunct/>
        <w:topLinePunct w:val="0"/>
        <w:autoSpaceDE/>
        <w:autoSpaceDN/>
        <w:bidi w:val="0"/>
        <w:adjustRightInd/>
        <w:snapToGrid/>
        <w:spacing w:after="313" w:afterLines="100" w:line="312" w:lineRule="auto"/>
        <w:ind w:firstLine="422" w:firstLineChars="200"/>
        <w:textAlignment w:val="auto"/>
        <w:rPr>
          <w:rFonts w:hint="eastAsia" w:ascii="宋体" w:eastAsia="宋体" w:cs="宋体"/>
          <w:b/>
          <w:bCs/>
          <w:color w:val="auto"/>
          <w:sz w:val="21"/>
          <w:szCs w:val="21"/>
          <w:highlight w:val="none"/>
        </w:rPr>
      </w:pPr>
      <w:bookmarkStart w:id="90" w:name="_Toc27290"/>
      <w:r>
        <w:rPr>
          <w:rFonts w:hint="eastAsia" w:ascii="宋体" w:eastAsia="宋体" w:cs="宋体"/>
          <w:b/>
          <w:bCs/>
          <w:color w:val="auto"/>
          <w:sz w:val="21"/>
          <w:szCs w:val="21"/>
          <w:highlight w:val="none"/>
        </w:rPr>
        <w:t>特别注意：采购文件</w:t>
      </w:r>
      <w:r>
        <w:rPr>
          <w:rFonts w:hint="eastAsia" w:ascii="宋体" w:eastAsia="宋体" w:cs="宋体"/>
          <w:b/>
          <w:bCs/>
          <w:color w:val="auto"/>
          <w:sz w:val="21"/>
          <w:szCs w:val="21"/>
          <w:highlight w:val="none"/>
          <w:lang w:val="en-US" w:eastAsia="zh-CN"/>
        </w:rPr>
        <w:t>中标</w:t>
      </w:r>
      <w:r>
        <w:rPr>
          <w:rFonts w:hint="eastAsia" w:ascii="宋体" w:eastAsia="宋体" w:cs="宋体"/>
          <w:b/>
          <w:bCs/>
          <w:color w:val="auto"/>
          <w:sz w:val="21"/>
          <w:szCs w:val="21"/>
          <w:highlight w:val="none"/>
        </w:rPr>
        <w:t>注“★”号或“实质性要求”的为重要条款（含重要的商务和技术条款），文件对这些重要条款的任何负偏离、不响应或没有实质性响应都将导致其响应文件作无效处理。本技术规格中若存在相关产品的具体品牌、型号、专利，均不作为指定要求，而仅为技术水平、产品品质的客观参考。本文中供方、乙方指</w:t>
      </w:r>
      <w:r>
        <w:rPr>
          <w:rFonts w:hint="eastAsia" w:ascii="宋体" w:eastAsia="宋体" w:cs="宋体"/>
          <w:b/>
          <w:bCs/>
          <w:color w:val="auto"/>
          <w:sz w:val="21"/>
          <w:szCs w:val="21"/>
          <w:highlight w:val="none"/>
          <w:lang w:eastAsia="zh-CN"/>
        </w:rPr>
        <w:t>供应商</w:t>
      </w:r>
      <w:r>
        <w:rPr>
          <w:rFonts w:hint="eastAsia" w:ascii="宋体" w:eastAsia="宋体" w:cs="宋体"/>
          <w:b/>
          <w:bCs/>
          <w:color w:val="auto"/>
          <w:sz w:val="21"/>
          <w:szCs w:val="21"/>
          <w:highlight w:val="none"/>
        </w:rPr>
        <w:t>，需方、甲方指采购人。</w:t>
      </w:r>
    </w:p>
    <w:p>
      <w:pPr>
        <w:pStyle w:val="4"/>
        <w:jc w:val="center"/>
        <w:rPr>
          <w:rFonts w:hint="default"/>
          <w:sz w:val="28"/>
          <w:szCs w:val="28"/>
          <w:highlight w:val="none"/>
          <w:lang w:val="en-US"/>
        </w:rPr>
      </w:pPr>
      <w:r>
        <w:rPr>
          <w:rFonts w:hint="eastAsia"/>
          <w:sz w:val="28"/>
          <w:szCs w:val="28"/>
          <w:highlight w:val="none"/>
          <w:lang w:eastAsia="zh-CN"/>
        </w:rPr>
        <w:t>GJB 5000B换版服务</w:t>
      </w:r>
      <w:r>
        <w:rPr>
          <w:rFonts w:hint="eastAsia"/>
          <w:sz w:val="28"/>
          <w:szCs w:val="28"/>
          <w:highlight w:val="none"/>
          <w:lang w:val="en-US" w:eastAsia="zh-CN"/>
        </w:rPr>
        <w:t>项目技术、服务要求（实质性要求）</w:t>
      </w:r>
    </w:p>
    <w:p>
      <w:pPr>
        <w:keepNext/>
        <w:keepLines/>
        <w:widowControl/>
        <w:numPr>
          <w:ilvl w:val="0"/>
          <w:numId w:val="21"/>
        </w:numPr>
        <w:spacing w:after="0" w:line="360" w:lineRule="auto"/>
        <w:ind w:left="0" w:firstLine="0"/>
        <w:textAlignment w:val="baseline"/>
        <w:outlineLvl w:val="0"/>
        <w:rPr>
          <w:rFonts w:hint="eastAsia" w:ascii="黑体" w:hAnsi="黑体" w:eastAsia="黑体" w:cs="黑体"/>
          <w:kern w:val="2"/>
          <w:sz w:val="24"/>
          <w:szCs w:val="24"/>
          <w:highlight w:val="none"/>
        </w:rPr>
      </w:pPr>
      <w:r>
        <w:rPr>
          <w:rFonts w:hint="eastAsia" w:ascii="黑体" w:hAnsi="黑体" w:eastAsia="黑体" w:cs="黑体"/>
          <w:kern w:val="2"/>
          <w:sz w:val="24"/>
          <w:szCs w:val="24"/>
          <w:highlight w:val="none"/>
        </w:rPr>
        <w:t>项目背景</w:t>
      </w:r>
    </w:p>
    <w:p>
      <w:pPr>
        <w:widowControl/>
        <w:spacing w:after="160" w:line="360" w:lineRule="auto"/>
        <w:ind w:firstLine="480" w:firstLineChars="200"/>
        <w:textAlignment w:val="baseline"/>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Hans"/>
        </w:rPr>
        <w:t>中物院应用电子学研究所</w:t>
      </w:r>
      <w:r>
        <w:rPr>
          <w:rFonts w:hint="eastAsia" w:ascii="宋体" w:hAnsi="宋体" w:eastAsia="宋体" w:cs="宋体"/>
          <w:kern w:val="2"/>
          <w:sz w:val="24"/>
          <w:szCs w:val="24"/>
          <w:highlight w:val="none"/>
        </w:rPr>
        <w:t>目前</w:t>
      </w:r>
      <w:r>
        <w:rPr>
          <w:rFonts w:hint="eastAsia" w:ascii="宋体" w:hAnsi="宋体" w:eastAsia="宋体" w:cs="宋体"/>
          <w:kern w:val="2"/>
          <w:sz w:val="24"/>
          <w:szCs w:val="24"/>
          <w:highlight w:val="none"/>
          <w:lang w:eastAsia="zh-Hans"/>
        </w:rPr>
        <w:t>已取得</w:t>
      </w:r>
      <w:r>
        <w:rPr>
          <w:rFonts w:hint="eastAsia" w:ascii="宋体" w:hAnsi="宋体" w:eastAsia="宋体" w:cs="宋体"/>
          <w:kern w:val="2"/>
          <w:sz w:val="24"/>
          <w:szCs w:val="24"/>
          <w:highlight w:val="none"/>
        </w:rPr>
        <w:t>GJB 5000</w:t>
      </w:r>
      <w:r>
        <w:rPr>
          <w:rFonts w:ascii="宋体" w:hAnsi="宋体" w:eastAsia="宋体" w:cs="宋体"/>
          <w:kern w:val="2"/>
          <w:sz w:val="24"/>
          <w:szCs w:val="24"/>
          <w:highlight w:val="none"/>
        </w:rPr>
        <w:t>A</w:t>
      </w:r>
      <w:r>
        <w:rPr>
          <w:rFonts w:hint="eastAsia" w:ascii="宋体" w:hAnsi="宋体" w:eastAsia="宋体" w:cs="宋体"/>
          <w:kern w:val="2"/>
          <w:sz w:val="24"/>
          <w:szCs w:val="24"/>
          <w:highlight w:val="none"/>
          <w:lang w:eastAsia="zh-Hans"/>
        </w:rPr>
        <w:t>二级资质</w:t>
      </w:r>
      <w:r>
        <w:rPr>
          <w:rFonts w:hint="eastAsia" w:ascii="宋体" w:hAnsi="宋体" w:eastAsia="宋体" w:cs="宋体"/>
          <w:kern w:val="2"/>
          <w:sz w:val="24"/>
          <w:szCs w:val="24"/>
          <w:highlight w:val="none"/>
        </w:rPr>
        <w:t>，根据GJB 5000B</w:t>
      </w:r>
      <w:r>
        <w:rPr>
          <w:rFonts w:hint="eastAsia" w:ascii="宋体" w:hAnsi="宋体" w:eastAsia="宋体" w:cs="宋体"/>
          <w:kern w:val="2"/>
          <w:sz w:val="24"/>
          <w:szCs w:val="24"/>
          <w:highlight w:val="none"/>
          <w:lang w:eastAsia="zh-Hans"/>
        </w:rPr>
        <w:t>换版工作</w:t>
      </w:r>
      <w:r>
        <w:rPr>
          <w:rFonts w:hint="eastAsia" w:ascii="宋体" w:hAnsi="宋体" w:eastAsia="宋体" w:cs="宋体"/>
          <w:kern w:val="2"/>
          <w:sz w:val="24"/>
          <w:szCs w:val="24"/>
          <w:highlight w:val="none"/>
        </w:rPr>
        <w:t>的相关</w:t>
      </w:r>
      <w:r>
        <w:rPr>
          <w:rFonts w:hint="eastAsia" w:ascii="宋体" w:hAnsi="宋体" w:eastAsia="宋体" w:cs="宋体"/>
          <w:kern w:val="2"/>
          <w:sz w:val="24"/>
          <w:szCs w:val="24"/>
          <w:highlight w:val="none"/>
          <w:lang w:eastAsia="zh-Hans"/>
        </w:rPr>
        <w:t>要求</w:t>
      </w:r>
      <w:r>
        <w:rPr>
          <w:rFonts w:hint="eastAsia" w:ascii="宋体" w:hAnsi="宋体" w:eastAsia="宋体" w:cs="宋体"/>
          <w:kern w:val="2"/>
          <w:sz w:val="24"/>
          <w:szCs w:val="24"/>
          <w:highlight w:val="none"/>
        </w:rPr>
        <w:t>，急需开展GJB</w:t>
      </w:r>
      <w:r>
        <w:rPr>
          <w:rFonts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t>5000B二级体系建设，完成GJB</w:t>
      </w:r>
      <w:r>
        <w:rPr>
          <w:rFonts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t>5000B二级</w:t>
      </w:r>
      <w:r>
        <w:rPr>
          <w:rFonts w:hint="eastAsia" w:ascii="宋体" w:hAnsi="宋体" w:eastAsia="宋体" w:cs="宋体"/>
          <w:kern w:val="2"/>
          <w:sz w:val="24"/>
          <w:szCs w:val="24"/>
          <w:highlight w:val="none"/>
          <w:lang w:eastAsia="zh-Hans"/>
        </w:rPr>
        <w:t>换版</w:t>
      </w:r>
      <w:r>
        <w:rPr>
          <w:rFonts w:hint="eastAsia" w:ascii="宋体" w:hAnsi="宋体" w:eastAsia="宋体" w:cs="宋体"/>
          <w:kern w:val="2"/>
          <w:sz w:val="24"/>
          <w:szCs w:val="24"/>
          <w:highlight w:val="none"/>
        </w:rPr>
        <w:t>认证工作。</w:t>
      </w:r>
    </w:p>
    <w:p>
      <w:pPr>
        <w:widowControl/>
        <w:spacing w:after="160" w:line="360" w:lineRule="auto"/>
        <w:ind w:firstLine="480" w:firstLineChars="200"/>
        <w:textAlignment w:val="baseline"/>
        <w:rPr>
          <w:rFonts w:hint="eastAsia"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eastAsia="zh-Hans"/>
        </w:rPr>
        <w:t>本次采购的内容主要包括软件管理平台建设和GJB5000B换版咨询服务，</w:t>
      </w:r>
      <w:r>
        <w:rPr>
          <w:rFonts w:hint="eastAsia" w:ascii="宋体" w:hAnsi="宋体" w:eastAsia="宋体" w:cs="宋体"/>
          <w:kern w:val="2"/>
          <w:sz w:val="24"/>
          <w:szCs w:val="24"/>
          <w:highlight w:val="none"/>
        </w:rPr>
        <w:t>要求</w:t>
      </w:r>
      <w:r>
        <w:rPr>
          <w:rFonts w:hint="eastAsia" w:ascii="宋体" w:hAnsi="宋体" w:eastAsia="宋体" w:cs="宋体"/>
          <w:kern w:val="2"/>
          <w:sz w:val="24"/>
          <w:szCs w:val="24"/>
          <w:highlight w:val="none"/>
          <w:lang w:eastAsia="zh-Hans"/>
        </w:rPr>
        <w:t>乙方指导甲方建立满足</w:t>
      </w:r>
      <w:r>
        <w:rPr>
          <w:rFonts w:hint="eastAsia" w:ascii="宋体" w:hAnsi="宋体" w:eastAsia="宋体" w:cs="宋体"/>
          <w:kern w:val="2"/>
          <w:sz w:val="24"/>
          <w:szCs w:val="24"/>
          <w:highlight w:val="none"/>
        </w:rPr>
        <w:t>GJB</w:t>
      </w:r>
      <w:r>
        <w:rPr>
          <w:rFonts w:ascii="宋体" w:hAnsi="宋体" w:eastAsia="宋体" w:cs="宋体"/>
          <w:kern w:val="2"/>
          <w:sz w:val="24"/>
          <w:szCs w:val="24"/>
          <w:highlight w:val="none"/>
        </w:rPr>
        <w:t xml:space="preserve"> </w:t>
      </w:r>
      <w:r>
        <w:rPr>
          <w:rFonts w:hint="eastAsia" w:ascii="宋体" w:hAnsi="宋体" w:eastAsia="宋体" w:cs="宋体"/>
          <w:kern w:val="2"/>
          <w:sz w:val="24"/>
          <w:szCs w:val="24"/>
          <w:highlight w:val="none"/>
        </w:rPr>
        <w:t>5000B二级</w:t>
      </w:r>
      <w:r>
        <w:rPr>
          <w:rFonts w:hint="eastAsia" w:ascii="宋体" w:hAnsi="宋体" w:eastAsia="宋体" w:cs="宋体"/>
          <w:kern w:val="2"/>
          <w:sz w:val="24"/>
          <w:szCs w:val="24"/>
          <w:highlight w:val="none"/>
          <w:lang w:eastAsia="zh-Hans"/>
        </w:rPr>
        <w:t>要求</w:t>
      </w:r>
      <w:r>
        <w:rPr>
          <w:rFonts w:hint="eastAsia" w:ascii="宋体" w:hAnsi="宋体" w:eastAsia="宋体" w:cs="宋体"/>
          <w:kern w:val="2"/>
          <w:sz w:val="24"/>
          <w:szCs w:val="24"/>
          <w:highlight w:val="none"/>
        </w:rPr>
        <w:t>的软件</w:t>
      </w:r>
      <w:r>
        <w:rPr>
          <w:rFonts w:hint="eastAsia" w:ascii="宋体" w:hAnsi="宋体" w:eastAsia="宋体" w:cs="宋体"/>
          <w:kern w:val="2"/>
          <w:sz w:val="24"/>
          <w:szCs w:val="24"/>
          <w:highlight w:val="none"/>
          <w:lang w:eastAsia="zh-Hans"/>
        </w:rPr>
        <w:t>质量管理体系</w:t>
      </w:r>
      <w:r>
        <w:rPr>
          <w:rFonts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eastAsia="zh-Hans"/>
        </w:rPr>
        <w:t>建设一套可以支持GJB</w:t>
      </w:r>
      <w:r>
        <w:rPr>
          <w:rFonts w:ascii="宋体" w:hAnsi="宋体" w:eastAsia="宋体" w:cs="宋体"/>
          <w:kern w:val="2"/>
          <w:sz w:val="24"/>
          <w:szCs w:val="24"/>
          <w:highlight w:val="none"/>
          <w:lang w:eastAsia="zh-Hans"/>
        </w:rPr>
        <w:t xml:space="preserve"> </w:t>
      </w:r>
      <w:r>
        <w:rPr>
          <w:rFonts w:hint="eastAsia" w:ascii="宋体" w:hAnsi="宋体" w:eastAsia="宋体" w:cs="宋体"/>
          <w:kern w:val="2"/>
          <w:sz w:val="24"/>
          <w:szCs w:val="24"/>
          <w:highlight w:val="none"/>
          <w:lang w:eastAsia="zh-Hans"/>
        </w:rPr>
        <w:t>5000B二级各实践域运行的软件管理平台</w:t>
      </w:r>
      <w:r>
        <w:rPr>
          <w:rFonts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eastAsia="zh-Hans"/>
        </w:rPr>
        <w:t>同时具有专业咨询服务团队</w:t>
      </w:r>
      <w:r>
        <w:rPr>
          <w:rFonts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eastAsia="zh-Hans"/>
        </w:rPr>
        <w:t>可以为甲方提供必要的培训和项目实施指导等</w:t>
      </w:r>
      <w:r>
        <w:rPr>
          <w:rFonts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eastAsia="zh-Hans"/>
        </w:rPr>
        <w:t>确保各个实施节点按照进度执行。</w:t>
      </w:r>
    </w:p>
    <w:p>
      <w:pPr>
        <w:widowControl/>
        <w:spacing w:after="160" w:line="360" w:lineRule="auto"/>
        <w:ind w:firstLine="482" w:firstLineChars="200"/>
        <w:textAlignment w:val="baseline"/>
        <w:rPr>
          <w:rFonts w:hint="eastAsia" w:ascii="宋体" w:hAnsi="宋体" w:eastAsia="宋体" w:cs="宋体"/>
          <w:kern w:val="2"/>
          <w:sz w:val="24"/>
          <w:szCs w:val="24"/>
          <w:highlight w:val="none"/>
          <w:lang w:val="zh-CN" w:eastAsia="zh-Hans"/>
        </w:rPr>
      </w:pPr>
      <w:r>
        <w:rPr>
          <w:rFonts w:hint="eastAsia" w:ascii="宋体" w:hAnsi="宋体" w:eastAsia="宋体" w:cs="宋体"/>
          <w:b/>
          <w:bCs/>
          <w:kern w:val="2"/>
          <w:sz w:val="24"/>
          <w:szCs w:val="24"/>
          <w:highlight w:val="none"/>
          <w:lang w:val="en-US" w:eastAsia="zh-Hans"/>
        </w:rPr>
        <w:t>供应商</w:t>
      </w:r>
      <w:r>
        <w:rPr>
          <w:rFonts w:hint="eastAsia" w:ascii="宋体" w:hAnsi="宋体" w:eastAsia="宋体" w:cs="宋体"/>
          <w:b/>
          <w:bCs/>
          <w:kern w:val="2"/>
          <w:sz w:val="24"/>
          <w:szCs w:val="24"/>
          <w:highlight w:val="none"/>
          <w:lang w:eastAsia="zh-CN"/>
        </w:rPr>
        <w:t>需提供一</w:t>
      </w:r>
      <w:r>
        <w:rPr>
          <w:rFonts w:hint="eastAsia" w:ascii="宋体" w:hAnsi="宋体" w:eastAsia="宋体" w:cs="宋体"/>
          <w:b/>
          <w:bCs/>
          <w:kern w:val="2"/>
          <w:sz w:val="24"/>
          <w:szCs w:val="24"/>
          <w:highlight w:val="none"/>
          <w:lang w:val="en-US" w:eastAsia="zh-Hans"/>
        </w:rPr>
        <w:t>套完整</w:t>
      </w:r>
      <w:r>
        <w:rPr>
          <w:rFonts w:hint="eastAsia" w:ascii="宋体" w:hAnsi="宋体" w:eastAsia="宋体" w:cs="宋体"/>
          <w:b/>
          <w:bCs/>
          <w:kern w:val="2"/>
          <w:sz w:val="24"/>
          <w:szCs w:val="24"/>
          <w:highlight w:val="none"/>
          <w:lang w:eastAsia="zh-CN"/>
        </w:rPr>
        <w:t>的</w:t>
      </w:r>
      <w:r>
        <w:rPr>
          <w:rFonts w:hint="default" w:ascii="宋体" w:hAnsi="宋体" w:eastAsia="宋体" w:cs="宋体"/>
          <w:b/>
          <w:bCs/>
          <w:kern w:val="2"/>
          <w:sz w:val="24"/>
          <w:szCs w:val="24"/>
          <w:highlight w:val="none"/>
          <w:lang w:eastAsia="zh-CN"/>
        </w:rPr>
        <w:t>GJB 5000B</w:t>
      </w:r>
      <w:r>
        <w:rPr>
          <w:rFonts w:hint="eastAsia" w:ascii="宋体" w:hAnsi="宋体" w:eastAsia="宋体" w:cs="宋体"/>
          <w:b/>
          <w:bCs/>
          <w:kern w:val="2"/>
          <w:sz w:val="24"/>
          <w:szCs w:val="24"/>
          <w:highlight w:val="none"/>
          <w:lang w:val="en-US" w:eastAsia="zh-Hans"/>
        </w:rPr>
        <w:t>换版服务</w:t>
      </w:r>
      <w:r>
        <w:rPr>
          <w:rFonts w:hint="eastAsia" w:ascii="宋体" w:hAnsi="宋体" w:eastAsia="宋体" w:cs="宋体"/>
          <w:b/>
          <w:bCs/>
          <w:kern w:val="2"/>
          <w:sz w:val="24"/>
          <w:szCs w:val="24"/>
          <w:highlight w:val="none"/>
          <w:lang w:eastAsia="zh-CN"/>
        </w:rPr>
        <w:t>实施方案</w:t>
      </w:r>
      <w:r>
        <w:rPr>
          <w:rFonts w:hint="eastAsia" w:ascii="宋体" w:hAnsi="宋体" w:eastAsia="宋体" w:cs="宋体"/>
          <w:b/>
          <w:bCs/>
          <w:kern w:val="2"/>
          <w:sz w:val="24"/>
          <w:szCs w:val="24"/>
          <w:highlight w:val="none"/>
          <w:lang w:val="en-US" w:eastAsia="zh-CN"/>
        </w:rPr>
        <w:t>或</w:t>
      </w:r>
      <w:r>
        <w:rPr>
          <w:rFonts w:hint="eastAsia" w:ascii="宋体" w:hAnsi="宋体" w:eastAsia="宋体" w:cs="宋体"/>
          <w:b/>
          <w:bCs/>
          <w:kern w:val="2"/>
          <w:sz w:val="24"/>
          <w:szCs w:val="24"/>
          <w:highlight w:val="none"/>
          <w:lang w:eastAsia="zh-CN"/>
        </w:rPr>
        <w:t>实施计划，</w:t>
      </w:r>
      <w:r>
        <w:rPr>
          <w:rFonts w:hint="eastAsia" w:ascii="宋体" w:hAnsi="宋体" w:eastAsia="宋体" w:cs="宋体"/>
          <w:b/>
          <w:bCs/>
          <w:kern w:val="2"/>
          <w:sz w:val="24"/>
          <w:szCs w:val="24"/>
          <w:highlight w:val="none"/>
          <w:lang w:val="en-US" w:eastAsia="zh-Hans"/>
        </w:rPr>
        <w:t>内容需响应</w:t>
      </w:r>
      <w:r>
        <w:rPr>
          <w:rFonts w:hint="eastAsia" w:ascii="宋体" w:hAnsi="宋体" w:eastAsia="宋体" w:cs="宋体"/>
          <w:b/>
          <w:bCs/>
          <w:kern w:val="2"/>
          <w:sz w:val="24"/>
          <w:szCs w:val="24"/>
          <w:highlight w:val="none"/>
          <w:lang w:eastAsia="zh-Hans"/>
        </w:rPr>
        <w:t>“</w:t>
      </w:r>
      <w:r>
        <w:rPr>
          <w:rFonts w:hint="default" w:ascii="宋体" w:hAnsi="宋体" w:eastAsia="宋体" w:cs="宋体"/>
          <w:b/>
          <w:bCs/>
          <w:kern w:val="2"/>
          <w:sz w:val="24"/>
          <w:szCs w:val="24"/>
          <w:highlight w:val="none"/>
          <w:lang w:eastAsia="zh-Hans"/>
        </w:rPr>
        <w:t>2</w:t>
      </w:r>
      <w:r>
        <w:rPr>
          <w:rFonts w:hint="eastAsia" w:ascii="宋体" w:hAnsi="宋体" w:eastAsia="宋体" w:cs="宋体"/>
          <w:b/>
          <w:bCs/>
          <w:kern w:val="2"/>
          <w:sz w:val="24"/>
          <w:szCs w:val="24"/>
          <w:highlight w:val="none"/>
          <w:lang w:val="en-US" w:eastAsia="zh-Hans"/>
        </w:rPr>
        <w:t>具体要求”中的所有条款</w:t>
      </w:r>
      <w:r>
        <w:rPr>
          <w:rFonts w:hint="eastAsia" w:ascii="宋体" w:hAnsi="宋体" w:eastAsia="宋体" w:cs="宋体"/>
          <w:b/>
          <w:bCs/>
          <w:kern w:val="2"/>
          <w:sz w:val="24"/>
          <w:szCs w:val="24"/>
          <w:highlight w:val="none"/>
          <w:lang w:eastAsia="zh-CN"/>
        </w:rPr>
        <w:t>，确保</w:t>
      </w:r>
      <w:r>
        <w:rPr>
          <w:rFonts w:hint="eastAsia" w:ascii="宋体" w:hAnsi="宋体" w:eastAsia="宋体" w:cs="宋体"/>
          <w:b/>
          <w:bCs/>
          <w:kern w:val="2"/>
          <w:sz w:val="24"/>
          <w:szCs w:val="24"/>
          <w:highlight w:val="none"/>
          <w:lang w:val="en-US" w:eastAsia="zh-Hans"/>
        </w:rPr>
        <w:t>甲方顺利</w:t>
      </w:r>
      <w:r>
        <w:rPr>
          <w:rFonts w:hint="eastAsia" w:ascii="宋体" w:hAnsi="宋体" w:eastAsia="宋体" w:cs="宋体"/>
          <w:b/>
          <w:bCs/>
          <w:kern w:val="2"/>
          <w:sz w:val="24"/>
          <w:szCs w:val="24"/>
          <w:highlight w:val="none"/>
          <w:lang w:eastAsia="zh-CN"/>
        </w:rPr>
        <w:t>通过GJB5000B二级认证</w:t>
      </w:r>
      <w:r>
        <w:rPr>
          <w:rFonts w:hint="default" w:ascii="宋体" w:hAnsi="宋体" w:eastAsia="宋体" w:cs="宋体"/>
          <w:b/>
          <w:bCs/>
          <w:kern w:val="2"/>
          <w:sz w:val="24"/>
          <w:szCs w:val="24"/>
          <w:highlight w:val="none"/>
          <w:lang w:eastAsia="zh-CN"/>
        </w:rPr>
        <w:t>。</w:t>
      </w:r>
    </w:p>
    <w:p>
      <w:pPr>
        <w:keepNext/>
        <w:keepLines/>
        <w:widowControl/>
        <w:numPr>
          <w:ilvl w:val="0"/>
          <w:numId w:val="21"/>
        </w:numPr>
        <w:spacing w:after="0" w:line="360" w:lineRule="auto"/>
        <w:ind w:left="0" w:firstLine="0"/>
        <w:textAlignment w:val="baseline"/>
        <w:outlineLvl w:val="0"/>
        <w:rPr>
          <w:rFonts w:hint="eastAsia" w:ascii="黑体" w:hAnsi="黑体" w:eastAsia="黑体" w:cs="黑体"/>
          <w:kern w:val="2"/>
          <w:sz w:val="24"/>
          <w:szCs w:val="24"/>
          <w:highlight w:val="none"/>
        </w:rPr>
      </w:pPr>
      <w:r>
        <w:rPr>
          <w:rFonts w:hint="eastAsia" w:ascii="黑体" w:hAnsi="黑体" w:eastAsia="黑体" w:cs="黑体"/>
          <w:kern w:val="2"/>
          <w:sz w:val="24"/>
          <w:szCs w:val="24"/>
          <w:highlight w:val="none"/>
          <w:lang w:eastAsia="zh-Hans"/>
        </w:rPr>
        <w:t>具体要求</w:t>
      </w:r>
    </w:p>
    <w:p>
      <w:pPr>
        <w:widowControl/>
        <w:spacing w:after="120" w:line="260" w:lineRule="auto"/>
        <w:ind w:left="0" w:firstLine="0"/>
        <w:jc w:val="left"/>
        <w:textAlignment w:val="baseline"/>
        <w:rPr>
          <w:rFonts w:ascii="黑体" w:hAnsi="黑体" w:eastAsia="黑体" w:cs="黑体"/>
          <w:kern w:val="0"/>
          <w:sz w:val="24"/>
          <w:szCs w:val="24"/>
          <w:highlight w:val="none"/>
          <w:lang w:val="en-US" w:eastAsia="zh-Hans" w:bidi="ar-SA"/>
        </w:rPr>
      </w:pPr>
      <w:r>
        <w:rPr>
          <w:rFonts w:ascii="黑体" w:hAnsi="黑体" w:eastAsia="黑体" w:cs="黑体"/>
          <w:kern w:val="0"/>
          <w:sz w:val="24"/>
          <w:szCs w:val="24"/>
          <w:highlight w:val="none"/>
          <w:lang w:val="zh-CN" w:eastAsia="zh-Hans" w:bidi="ar-SA"/>
        </w:rPr>
        <w:t>2</w:t>
      </w:r>
      <w:r>
        <w:rPr>
          <w:rFonts w:hint="eastAsia" w:ascii="黑体" w:hAnsi="黑体" w:eastAsia="黑体" w:cs="黑体"/>
          <w:kern w:val="0"/>
          <w:sz w:val="24"/>
          <w:szCs w:val="24"/>
          <w:highlight w:val="none"/>
          <w:lang w:val="en-US" w:eastAsia="zh-Hans" w:bidi="ar-SA"/>
        </w:rPr>
        <w:t>.</w:t>
      </w:r>
      <w:r>
        <w:rPr>
          <w:rFonts w:ascii="黑体" w:hAnsi="黑体" w:eastAsia="黑体" w:cs="黑体"/>
          <w:kern w:val="0"/>
          <w:sz w:val="24"/>
          <w:szCs w:val="24"/>
          <w:highlight w:val="none"/>
          <w:lang w:val="zh-CN" w:eastAsia="zh-Hans" w:bidi="ar-SA"/>
        </w:rPr>
        <w:t xml:space="preserve">1 </w:t>
      </w:r>
      <w:r>
        <w:rPr>
          <w:rFonts w:hint="eastAsia" w:ascii="黑体" w:hAnsi="黑体" w:eastAsia="黑体" w:cs="黑体"/>
          <w:kern w:val="0"/>
          <w:sz w:val="24"/>
          <w:szCs w:val="24"/>
          <w:highlight w:val="none"/>
          <w:lang w:val="en-US" w:eastAsia="zh-Hans" w:bidi="ar-SA"/>
        </w:rPr>
        <w:t>供应商能力要求</w:t>
      </w:r>
    </w:p>
    <w:p>
      <w:pPr>
        <w:widowControl/>
        <w:spacing w:after="0" w:line="360" w:lineRule="auto"/>
        <w:ind w:firstLine="480" w:firstLineChars="200"/>
        <w:textAlignment w:val="baseline"/>
        <w:rPr>
          <w:rFonts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CN"/>
        </w:rPr>
        <w:t>1</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Hans"/>
        </w:rPr>
        <w:t>供应商</w:t>
      </w:r>
      <w:r>
        <w:rPr>
          <w:rFonts w:hint="eastAsia" w:ascii="宋体" w:hAnsi="宋体" w:eastAsia="宋体" w:cs="宋体"/>
          <w:kern w:val="2"/>
          <w:sz w:val="24"/>
          <w:szCs w:val="24"/>
          <w:highlight w:val="none"/>
          <w:lang w:eastAsia="zh-Hans"/>
        </w:rPr>
        <w:t>需</w:t>
      </w:r>
      <w:r>
        <w:rPr>
          <w:rFonts w:ascii="宋体" w:hAnsi="宋体" w:eastAsia="宋体" w:cs="宋体"/>
          <w:kern w:val="2"/>
          <w:sz w:val="24"/>
          <w:szCs w:val="24"/>
          <w:highlight w:val="none"/>
          <w:lang w:eastAsia="zh-Hans"/>
        </w:rPr>
        <w:t>具备</w:t>
      </w:r>
      <w:r>
        <w:rPr>
          <w:rFonts w:hint="eastAsia" w:ascii="宋体" w:hAnsi="宋体" w:eastAsia="宋体" w:cs="宋体"/>
          <w:kern w:val="2"/>
          <w:sz w:val="24"/>
          <w:szCs w:val="24"/>
          <w:highlight w:val="none"/>
          <w:lang w:eastAsia="zh-Hans"/>
        </w:rPr>
        <w:t>对</w:t>
      </w:r>
      <w:r>
        <w:rPr>
          <w:rFonts w:ascii="宋体" w:hAnsi="宋体" w:eastAsia="宋体" w:cs="宋体"/>
          <w:kern w:val="2"/>
          <w:sz w:val="24"/>
          <w:szCs w:val="24"/>
          <w:highlight w:val="none"/>
          <w:lang w:eastAsia="zh-Hans"/>
        </w:rPr>
        <w:t>GJB5000B的理解</w:t>
      </w:r>
      <w:r>
        <w:rPr>
          <w:rFonts w:hint="eastAsia" w:ascii="宋体" w:hAnsi="宋体" w:eastAsia="宋体" w:cs="宋体"/>
          <w:kern w:val="2"/>
          <w:sz w:val="24"/>
          <w:szCs w:val="24"/>
          <w:highlight w:val="none"/>
          <w:lang w:eastAsia="zh-Hans"/>
        </w:rPr>
        <w:t>能力</w:t>
      </w:r>
      <w:r>
        <w:rPr>
          <w:rFonts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eastAsia="zh-Hans"/>
        </w:rPr>
        <w:t>及指导甲方实施体系建设的</w:t>
      </w:r>
      <w:r>
        <w:rPr>
          <w:rFonts w:ascii="宋体" w:hAnsi="宋体" w:eastAsia="宋体" w:cs="宋体"/>
          <w:kern w:val="2"/>
          <w:sz w:val="24"/>
          <w:szCs w:val="24"/>
          <w:highlight w:val="none"/>
          <w:lang w:eastAsia="zh-Hans"/>
        </w:rPr>
        <w:t>能力。</w:t>
      </w:r>
    </w:p>
    <w:p>
      <w:pPr>
        <w:widowControl/>
        <w:spacing w:after="0" w:line="360" w:lineRule="auto"/>
        <w:ind w:firstLine="480" w:firstLineChars="200"/>
        <w:textAlignment w:val="baseline"/>
        <w:rPr>
          <w:rFonts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CN"/>
        </w:rPr>
        <w:t>2</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Hans"/>
        </w:rPr>
        <w:t>供应商</w:t>
      </w:r>
      <w:r>
        <w:rPr>
          <w:rFonts w:hint="eastAsia" w:ascii="宋体" w:hAnsi="宋体" w:eastAsia="宋体" w:cs="宋体"/>
          <w:kern w:val="2"/>
          <w:sz w:val="24"/>
          <w:szCs w:val="24"/>
          <w:highlight w:val="none"/>
          <w:lang w:eastAsia="zh-Hans"/>
        </w:rPr>
        <w:t>应有稳定的咨询师团队</w:t>
      </w:r>
      <w:r>
        <w:rPr>
          <w:rFonts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CN"/>
        </w:rPr>
        <w:t>供应商为甲方指定的咨询师未经允许不得随意更换。</w:t>
      </w:r>
    </w:p>
    <w:p>
      <w:pPr>
        <w:widowControl/>
        <w:spacing w:after="120" w:line="260" w:lineRule="auto"/>
        <w:ind w:left="0" w:firstLine="0"/>
        <w:jc w:val="left"/>
        <w:textAlignment w:val="baseline"/>
        <w:rPr>
          <w:rFonts w:hint="default" w:ascii="黑体" w:hAnsi="黑体" w:eastAsia="黑体" w:cs="黑体"/>
          <w:kern w:val="0"/>
          <w:sz w:val="24"/>
          <w:szCs w:val="24"/>
          <w:highlight w:val="none"/>
          <w:lang w:val="en-US" w:eastAsia="zh-Hans" w:bidi="ar-SA"/>
        </w:rPr>
      </w:pPr>
      <w:r>
        <w:rPr>
          <w:rFonts w:ascii="黑体" w:hAnsi="黑体" w:eastAsia="黑体" w:cs="黑体"/>
          <w:kern w:val="0"/>
          <w:sz w:val="24"/>
          <w:szCs w:val="24"/>
          <w:highlight w:val="none"/>
          <w:lang w:val="zh-CN" w:eastAsia="zh-Hans" w:bidi="ar-SA"/>
        </w:rPr>
        <w:t>2</w:t>
      </w:r>
      <w:r>
        <w:rPr>
          <w:rFonts w:hint="eastAsia" w:ascii="黑体" w:hAnsi="黑体" w:eastAsia="黑体" w:cs="黑体"/>
          <w:kern w:val="0"/>
          <w:sz w:val="24"/>
          <w:szCs w:val="24"/>
          <w:highlight w:val="none"/>
          <w:lang w:val="en-US" w:eastAsia="zh-Hans" w:bidi="ar-SA"/>
        </w:rPr>
        <w:t>.</w:t>
      </w:r>
      <w:r>
        <w:rPr>
          <w:rFonts w:ascii="黑体" w:hAnsi="黑体" w:eastAsia="黑体" w:cs="黑体"/>
          <w:kern w:val="0"/>
          <w:sz w:val="24"/>
          <w:szCs w:val="24"/>
          <w:highlight w:val="none"/>
          <w:lang w:val="zh-CN" w:eastAsia="zh-Hans" w:bidi="ar-SA"/>
        </w:rPr>
        <w:t>2 GJB 5000B</w:t>
      </w:r>
      <w:r>
        <w:rPr>
          <w:rFonts w:hint="eastAsia" w:ascii="黑体" w:hAnsi="黑体" w:eastAsia="黑体" w:cs="黑体"/>
          <w:kern w:val="0"/>
          <w:sz w:val="24"/>
          <w:szCs w:val="24"/>
          <w:highlight w:val="none"/>
          <w:lang w:val="en-US" w:eastAsia="zh-Hans" w:bidi="ar-SA"/>
        </w:rPr>
        <w:t>换版咨询和培训服务要求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default" w:ascii="宋体" w:hAnsi="宋体" w:eastAsia="宋体" w:cs="宋体"/>
          <w:kern w:val="2"/>
          <w:sz w:val="24"/>
          <w:szCs w:val="24"/>
          <w:highlight w:val="none"/>
          <w:lang w:eastAsia="zh-CN"/>
        </w:rPr>
        <w:t>1）</w:t>
      </w:r>
      <w:r>
        <w:rPr>
          <w:rFonts w:hint="eastAsia" w:ascii="宋体" w:hAnsi="宋体" w:eastAsia="宋体" w:cs="宋体"/>
          <w:kern w:val="2"/>
          <w:sz w:val="24"/>
          <w:szCs w:val="24"/>
          <w:highlight w:val="none"/>
          <w:lang w:eastAsia="zh-CN"/>
        </w:rPr>
        <w:t>咨询公司协</w:t>
      </w:r>
      <w:r>
        <w:rPr>
          <w:rFonts w:hint="eastAsia" w:ascii="宋体" w:hAnsi="宋体" w:eastAsia="宋体" w:cs="宋体"/>
          <w:kern w:val="2"/>
          <w:sz w:val="24"/>
          <w:szCs w:val="24"/>
          <w:highlight w:val="none"/>
          <w:lang w:val="en-US" w:eastAsia="zh-Hans"/>
        </w:rPr>
        <w:t>助</w:t>
      </w:r>
      <w:r>
        <w:rPr>
          <w:rFonts w:hint="eastAsia" w:ascii="宋体" w:hAnsi="宋体" w:eastAsia="宋体" w:cs="宋体"/>
          <w:kern w:val="2"/>
          <w:sz w:val="24"/>
          <w:szCs w:val="24"/>
          <w:highlight w:val="none"/>
          <w:lang w:eastAsia="zh-CN"/>
        </w:rPr>
        <w:t>甲方在</w:t>
      </w:r>
      <w:r>
        <w:rPr>
          <w:rFonts w:hint="default" w:ascii="宋体" w:hAnsi="宋体" w:eastAsia="宋体" w:cs="宋体"/>
          <w:kern w:val="2"/>
          <w:sz w:val="24"/>
          <w:szCs w:val="24"/>
          <w:highlight w:val="none"/>
          <w:lang w:eastAsia="zh-CN"/>
        </w:rPr>
        <w:t>2022</w:t>
      </w:r>
      <w:r>
        <w:rPr>
          <w:rFonts w:hint="eastAsia" w:ascii="宋体" w:hAnsi="宋体" w:eastAsia="宋体" w:cs="宋体"/>
          <w:kern w:val="2"/>
          <w:sz w:val="24"/>
          <w:szCs w:val="24"/>
          <w:highlight w:val="none"/>
          <w:lang w:val="en-US" w:eastAsia="zh-Hans"/>
        </w:rPr>
        <w:t>年底前完成体系文件编制</w:t>
      </w:r>
      <w:r>
        <w:rPr>
          <w:rFonts w:hint="default" w:ascii="宋体" w:hAnsi="宋体" w:eastAsia="宋体" w:cs="宋体"/>
          <w:kern w:val="2"/>
          <w:sz w:val="24"/>
          <w:szCs w:val="24"/>
          <w:highlight w:val="none"/>
          <w:lang w:eastAsia="zh-Hans"/>
        </w:rPr>
        <w:t>、</w:t>
      </w:r>
      <w:r>
        <w:rPr>
          <w:rFonts w:hint="eastAsia" w:ascii="宋体" w:hAnsi="宋体" w:eastAsia="宋体" w:cs="宋体"/>
          <w:bCs/>
          <w:kern w:val="0"/>
          <w:sz w:val="24"/>
          <w:szCs w:val="24"/>
          <w:highlight w:val="none"/>
        </w:rPr>
        <w:t>体系文件与</w:t>
      </w:r>
      <w:r>
        <w:rPr>
          <w:rFonts w:hint="eastAsia" w:ascii="宋体" w:hAnsi="宋体" w:eastAsia="宋体" w:cs="宋体"/>
          <w:bCs/>
          <w:kern w:val="0"/>
          <w:sz w:val="24"/>
          <w:szCs w:val="24"/>
          <w:highlight w:val="none"/>
          <w:lang w:eastAsia="zh-Hans"/>
        </w:rPr>
        <w:t>软件管理</w:t>
      </w:r>
      <w:r>
        <w:rPr>
          <w:rFonts w:hint="eastAsia" w:ascii="宋体" w:hAnsi="宋体" w:eastAsia="宋体" w:cs="宋体"/>
          <w:bCs/>
          <w:kern w:val="0"/>
          <w:sz w:val="24"/>
          <w:szCs w:val="24"/>
          <w:highlight w:val="none"/>
        </w:rPr>
        <w:t>平台</w:t>
      </w:r>
      <w:r>
        <w:rPr>
          <w:rFonts w:hint="eastAsia" w:ascii="宋体" w:hAnsi="宋体" w:eastAsia="宋体" w:cs="宋体"/>
          <w:bCs/>
          <w:kern w:val="0"/>
          <w:sz w:val="24"/>
          <w:szCs w:val="24"/>
          <w:highlight w:val="none"/>
          <w:lang w:eastAsia="zh-Hans"/>
        </w:rPr>
        <w:t>一致性检查</w:t>
      </w:r>
      <w:r>
        <w:rPr>
          <w:rFonts w:hint="default" w:ascii="宋体" w:hAnsi="宋体" w:eastAsia="宋体" w:cs="宋体"/>
          <w:bCs/>
          <w:kern w:val="0"/>
          <w:sz w:val="24"/>
          <w:szCs w:val="24"/>
          <w:highlight w:val="none"/>
          <w:lang w:eastAsia="zh-Hans"/>
        </w:rPr>
        <w:t>、</w:t>
      </w:r>
      <w:r>
        <w:rPr>
          <w:rFonts w:hint="eastAsia" w:ascii="宋体" w:hAnsi="宋体" w:eastAsia="宋体" w:cs="宋体"/>
          <w:kern w:val="2"/>
          <w:sz w:val="24"/>
          <w:szCs w:val="24"/>
          <w:highlight w:val="none"/>
          <w:lang w:val="en-US" w:eastAsia="zh-Hans"/>
        </w:rPr>
        <w:t>员工培训和考核等工作</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eastAsia="zh-CN"/>
        </w:rPr>
        <w:t>2023年底前通过GJB5000B二级正式评价</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default" w:ascii="宋体" w:hAnsi="宋体" w:eastAsia="宋体" w:cs="宋体"/>
          <w:kern w:val="2"/>
          <w:sz w:val="24"/>
          <w:szCs w:val="24"/>
          <w:highlight w:val="none"/>
          <w:lang w:eastAsia="zh-CN"/>
        </w:rPr>
        <w:t>2）</w:t>
      </w:r>
      <w:r>
        <w:rPr>
          <w:rFonts w:hint="eastAsia" w:ascii="宋体" w:hAnsi="宋体" w:eastAsia="宋体" w:cs="宋体"/>
          <w:kern w:val="2"/>
          <w:sz w:val="24"/>
          <w:szCs w:val="24"/>
          <w:highlight w:val="none"/>
          <w:lang w:eastAsia="zh-CN"/>
        </w:rPr>
        <w:t>咨询公司协助甲方成立满足GJB5000B要求的组织机构</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default" w:ascii="宋体" w:hAnsi="宋体" w:eastAsia="宋体" w:cs="宋体"/>
          <w:kern w:val="2"/>
          <w:sz w:val="24"/>
          <w:szCs w:val="24"/>
          <w:highlight w:val="none"/>
          <w:lang w:eastAsia="zh-CN"/>
        </w:rPr>
        <w:t>3）</w:t>
      </w:r>
      <w:r>
        <w:rPr>
          <w:rFonts w:hint="eastAsia" w:ascii="宋体" w:hAnsi="宋体" w:eastAsia="宋体" w:cs="宋体"/>
          <w:kern w:val="2"/>
          <w:sz w:val="24"/>
          <w:szCs w:val="24"/>
          <w:highlight w:val="none"/>
          <w:lang w:eastAsia="zh-CN"/>
        </w:rPr>
        <w:t>咨询公司提供体系文件编写指南或</w:t>
      </w:r>
      <w:r>
        <w:rPr>
          <w:rFonts w:hint="eastAsia" w:ascii="宋体" w:hAnsi="宋体" w:eastAsia="宋体" w:cs="宋体"/>
          <w:kern w:val="2"/>
          <w:sz w:val="24"/>
          <w:szCs w:val="24"/>
          <w:highlight w:val="none"/>
          <w:lang w:val="en-US" w:eastAsia="zh-Hans"/>
        </w:rPr>
        <w:t>模板</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eastAsia="zh-CN"/>
        </w:rPr>
        <w:t>指导甲方建立文件框架，涵盖GJB5000B二级规定的所有实践域</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Hans"/>
        </w:rPr>
        <w:t>编制</w:t>
      </w:r>
      <w:r>
        <w:rPr>
          <w:rFonts w:hint="eastAsia" w:ascii="宋体" w:hAnsi="宋体" w:eastAsia="宋体" w:cs="宋体"/>
          <w:kern w:val="2"/>
          <w:sz w:val="24"/>
          <w:szCs w:val="24"/>
          <w:highlight w:val="none"/>
          <w:lang w:eastAsia="zh-CN"/>
        </w:rPr>
        <w:t>体系文件总则、过程文件、过程表单和</w:t>
      </w:r>
      <w:r>
        <w:rPr>
          <w:rFonts w:hint="eastAsia" w:ascii="宋体" w:hAnsi="宋体" w:eastAsia="宋体" w:cs="宋体"/>
          <w:kern w:val="2"/>
          <w:sz w:val="24"/>
          <w:szCs w:val="24"/>
          <w:highlight w:val="none"/>
          <w:lang w:val="en-US" w:eastAsia="zh-Hans"/>
        </w:rPr>
        <w:t>模板等</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default" w:ascii="宋体" w:hAnsi="宋体" w:eastAsia="宋体" w:cs="宋体"/>
          <w:kern w:val="2"/>
          <w:sz w:val="24"/>
          <w:szCs w:val="24"/>
          <w:highlight w:val="none"/>
          <w:lang w:eastAsia="zh-CN"/>
        </w:rPr>
        <w:t>4）</w:t>
      </w:r>
      <w:r>
        <w:rPr>
          <w:rFonts w:hint="eastAsia" w:ascii="宋体" w:hAnsi="宋体" w:eastAsia="宋体" w:cs="宋体"/>
          <w:kern w:val="2"/>
          <w:sz w:val="24"/>
          <w:szCs w:val="24"/>
          <w:highlight w:val="none"/>
          <w:lang w:eastAsia="zh-CN"/>
        </w:rPr>
        <w:t>咨询公司协助</w:t>
      </w:r>
      <w:r>
        <w:rPr>
          <w:rFonts w:hint="eastAsia" w:ascii="宋体" w:hAnsi="宋体" w:eastAsia="宋体" w:cs="宋体"/>
          <w:kern w:val="2"/>
          <w:sz w:val="24"/>
          <w:szCs w:val="24"/>
          <w:highlight w:val="none"/>
          <w:lang w:val="en-US" w:eastAsia="zh-Hans"/>
        </w:rPr>
        <w:t>甲方完成</w:t>
      </w:r>
      <w:r>
        <w:rPr>
          <w:rFonts w:hint="eastAsia" w:ascii="宋体" w:hAnsi="宋体" w:eastAsia="宋体" w:cs="宋体"/>
          <w:kern w:val="2"/>
          <w:sz w:val="24"/>
          <w:szCs w:val="24"/>
          <w:highlight w:val="none"/>
          <w:lang w:eastAsia="zh-CN"/>
        </w:rPr>
        <w:t>体系文件的检查、统稿和评审</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default" w:ascii="宋体" w:hAnsi="宋体" w:eastAsia="宋体" w:cs="宋体"/>
          <w:kern w:val="2"/>
          <w:sz w:val="24"/>
          <w:szCs w:val="24"/>
          <w:highlight w:val="none"/>
          <w:lang w:eastAsia="zh-CN"/>
        </w:rPr>
        <w:t>5）</w:t>
      </w:r>
      <w:r>
        <w:rPr>
          <w:rFonts w:hint="eastAsia" w:ascii="宋体" w:hAnsi="宋体" w:eastAsia="宋体" w:cs="宋体"/>
          <w:kern w:val="2"/>
          <w:sz w:val="24"/>
          <w:szCs w:val="24"/>
          <w:highlight w:val="none"/>
          <w:lang w:eastAsia="zh-CN"/>
        </w:rPr>
        <w:t>咨询公司协助甲方完成体系文件</w:t>
      </w:r>
      <w:r>
        <w:rPr>
          <w:rFonts w:hint="eastAsia" w:ascii="宋体" w:hAnsi="宋体" w:eastAsia="宋体" w:cs="宋体"/>
          <w:kern w:val="2"/>
          <w:sz w:val="24"/>
          <w:szCs w:val="24"/>
          <w:highlight w:val="none"/>
          <w:lang w:val="en-US" w:eastAsia="zh-Hans"/>
        </w:rPr>
        <w:t>评审</w:t>
      </w:r>
      <w:r>
        <w:rPr>
          <w:rFonts w:hint="eastAsia" w:ascii="宋体" w:hAnsi="宋体" w:eastAsia="宋体" w:cs="宋体"/>
          <w:kern w:val="2"/>
          <w:sz w:val="24"/>
          <w:szCs w:val="24"/>
          <w:highlight w:val="none"/>
          <w:lang w:eastAsia="zh-CN"/>
        </w:rPr>
        <w:t>后修改工作</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default" w:ascii="宋体" w:hAnsi="宋体" w:eastAsia="宋体" w:cs="宋体"/>
          <w:kern w:val="2"/>
          <w:sz w:val="24"/>
          <w:szCs w:val="24"/>
          <w:highlight w:val="none"/>
          <w:lang w:eastAsia="zh-CN"/>
        </w:rPr>
        <w:t>6）</w:t>
      </w:r>
      <w:r>
        <w:rPr>
          <w:rFonts w:hint="eastAsia" w:ascii="宋体" w:hAnsi="宋体" w:eastAsia="宋体" w:cs="宋体"/>
          <w:kern w:val="2"/>
          <w:sz w:val="24"/>
          <w:szCs w:val="24"/>
          <w:highlight w:val="none"/>
          <w:lang w:val="en-US" w:eastAsia="zh-CN"/>
        </w:rPr>
        <w:t>指导甲方选择和运行试点项目</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default" w:ascii="宋体" w:hAnsi="宋体" w:eastAsia="宋体" w:cs="宋体"/>
          <w:kern w:val="2"/>
          <w:sz w:val="24"/>
          <w:szCs w:val="24"/>
          <w:highlight w:val="none"/>
          <w:lang w:eastAsia="zh-CN"/>
        </w:rPr>
        <w:t>7）</w:t>
      </w:r>
      <w:r>
        <w:rPr>
          <w:rFonts w:hint="eastAsia" w:ascii="宋体" w:hAnsi="宋体" w:eastAsia="宋体" w:cs="宋体"/>
          <w:kern w:val="2"/>
          <w:sz w:val="24"/>
          <w:szCs w:val="24"/>
          <w:highlight w:val="none"/>
          <w:lang w:eastAsia="zh-CN"/>
        </w:rPr>
        <w:t>咨询公司协同甲方通过体系内审和正式评价，完成内审和正式评价提出问题的整改</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eastAsia="zh-CN"/>
        </w:rPr>
      </w:pPr>
      <w:r>
        <w:rPr>
          <w:rFonts w:hint="default" w:ascii="宋体" w:hAnsi="宋体" w:eastAsia="宋体" w:cs="宋体"/>
          <w:kern w:val="2"/>
          <w:sz w:val="24"/>
          <w:szCs w:val="24"/>
          <w:highlight w:val="none"/>
          <w:lang w:eastAsia="zh-CN"/>
        </w:rPr>
        <w:t>8）</w:t>
      </w:r>
      <w:r>
        <w:rPr>
          <w:rFonts w:hint="eastAsia" w:ascii="宋体" w:hAnsi="宋体" w:eastAsia="宋体" w:cs="宋体"/>
          <w:kern w:val="2"/>
          <w:sz w:val="24"/>
          <w:szCs w:val="24"/>
          <w:highlight w:val="none"/>
          <w:lang w:eastAsia="zh-CN"/>
        </w:rPr>
        <w:t>咨询公司为甲方提供</w:t>
      </w:r>
      <w:r>
        <w:rPr>
          <w:rFonts w:hint="eastAsia" w:ascii="宋体" w:hAnsi="宋体" w:eastAsia="宋体" w:cs="宋体"/>
          <w:kern w:val="2"/>
          <w:sz w:val="24"/>
          <w:szCs w:val="24"/>
          <w:highlight w:val="none"/>
          <w:lang w:val="en-US" w:eastAsia="zh-Hans"/>
        </w:rPr>
        <w:t>必要</w:t>
      </w:r>
      <w:r>
        <w:rPr>
          <w:rFonts w:hint="eastAsia" w:ascii="宋体" w:hAnsi="宋体" w:eastAsia="宋体" w:cs="宋体"/>
          <w:kern w:val="2"/>
          <w:sz w:val="24"/>
          <w:szCs w:val="24"/>
          <w:highlight w:val="none"/>
          <w:lang w:eastAsia="zh-CN"/>
        </w:rPr>
        <w:t>的GJB5000B体系建立售后技术支持和保障服务。</w:t>
      </w:r>
    </w:p>
    <w:p>
      <w:pPr>
        <w:widowControl/>
        <w:spacing w:before="240" w:beforeLines="100" w:after="120" w:line="260" w:lineRule="auto"/>
        <w:ind w:left="0" w:firstLine="0"/>
        <w:jc w:val="left"/>
        <w:textAlignment w:val="baseline"/>
        <w:rPr>
          <w:rFonts w:ascii="黑体" w:hAnsi="黑体" w:eastAsia="黑体" w:cs="黑体"/>
          <w:kern w:val="0"/>
          <w:sz w:val="24"/>
          <w:szCs w:val="24"/>
          <w:highlight w:val="none"/>
          <w:lang w:val="zh-CN" w:eastAsia="zh-Hans" w:bidi="ar-SA"/>
        </w:rPr>
      </w:pPr>
      <w:r>
        <w:rPr>
          <w:rFonts w:ascii="黑体" w:hAnsi="黑体" w:eastAsia="黑体" w:cs="黑体"/>
          <w:kern w:val="0"/>
          <w:sz w:val="24"/>
          <w:szCs w:val="24"/>
          <w:highlight w:val="none"/>
          <w:lang w:val="zh-CN" w:eastAsia="zh-Hans" w:bidi="ar-SA"/>
        </w:rPr>
        <w:t>2</w:t>
      </w:r>
      <w:r>
        <w:rPr>
          <w:rFonts w:hint="eastAsia" w:ascii="黑体" w:hAnsi="黑体" w:eastAsia="黑体" w:cs="黑体"/>
          <w:kern w:val="0"/>
          <w:sz w:val="24"/>
          <w:szCs w:val="24"/>
          <w:highlight w:val="none"/>
          <w:lang w:val="en-US" w:eastAsia="zh-Hans" w:bidi="ar-SA"/>
        </w:rPr>
        <w:t>.</w:t>
      </w:r>
      <w:r>
        <w:rPr>
          <w:rFonts w:ascii="黑体" w:hAnsi="黑体" w:eastAsia="黑体" w:cs="黑体"/>
          <w:kern w:val="0"/>
          <w:sz w:val="24"/>
          <w:szCs w:val="24"/>
          <w:highlight w:val="none"/>
          <w:lang w:val="zh-CN" w:eastAsia="zh-Hans" w:bidi="ar-SA"/>
        </w:rPr>
        <w:t xml:space="preserve">3 </w:t>
      </w:r>
      <w:r>
        <w:rPr>
          <w:rFonts w:hint="eastAsia" w:ascii="黑体" w:hAnsi="黑体" w:eastAsia="黑体" w:cs="黑体"/>
          <w:kern w:val="0"/>
          <w:sz w:val="24"/>
          <w:szCs w:val="24"/>
          <w:highlight w:val="none"/>
          <w:lang w:val="en-US" w:eastAsia="zh-Hans" w:bidi="ar-SA"/>
        </w:rPr>
        <w:t>软件管理平台技术支持</w:t>
      </w:r>
      <w:r>
        <w:rPr>
          <w:rFonts w:hint="eastAsia" w:ascii="黑体" w:hAnsi="黑体" w:eastAsia="黑体" w:cs="黑体"/>
          <w:kern w:val="0"/>
          <w:sz w:val="24"/>
          <w:szCs w:val="24"/>
          <w:highlight w:val="none"/>
          <w:lang w:val="zh-CN" w:eastAsia="zh-Hans" w:bidi="ar-SA"/>
        </w:rPr>
        <w:t>服务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default" w:ascii="宋体" w:hAnsi="宋体" w:eastAsia="宋体" w:cs="宋体"/>
          <w:kern w:val="2"/>
          <w:sz w:val="24"/>
          <w:szCs w:val="24"/>
          <w:highlight w:val="none"/>
          <w:lang w:eastAsia="zh-Hans"/>
        </w:rPr>
        <w:t>2022</w:t>
      </w:r>
      <w:r>
        <w:rPr>
          <w:rFonts w:hint="eastAsia" w:ascii="宋体" w:hAnsi="宋体" w:eastAsia="宋体" w:cs="宋体"/>
          <w:kern w:val="2"/>
          <w:sz w:val="24"/>
          <w:szCs w:val="24"/>
          <w:highlight w:val="none"/>
          <w:lang w:val="en-US" w:eastAsia="zh-Hans"/>
        </w:rPr>
        <w:t>年年底前完成软件管理平台上线运行前的准备工作</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主要包括</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default" w:ascii="宋体" w:hAnsi="宋体" w:eastAsia="宋体" w:cs="宋体"/>
          <w:kern w:val="2"/>
          <w:sz w:val="24"/>
          <w:szCs w:val="24"/>
          <w:highlight w:val="none"/>
          <w:lang w:eastAsia="zh-Hans"/>
        </w:rPr>
        <w:t>1）</w:t>
      </w:r>
      <w:r>
        <w:rPr>
          <w:rFonts w:hint="eastAsia" w:ascii="宋体" w:hAnsi="宋体" w:eastAsia="宋体" w:cs="宋体"/>
          <w:kern w:val="2"/>
          <w:sz w:val="24"/>
          <w:szCs w:val="24"/>
          <w:highlight w:val="none"/>
          <w:lang w:val="en-US" w:eastAsia="zh-Hans"/>
        </w:rPr>
        <w:t>在甲方网络环境下完成软件管理平台的安装部署。</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ascii="宋体" w:hAnsi="宋体" w:eastAsia="宋体" w:cs="宋体"/>
          <w:bCs/>
          <w:kern w:val="0"/>
          <w:sz w:val="24"/>
          <w:szCs w:val="24"/>
          <w:highlight w:val="none"/>
          <w:lang w:eastAsia="zh-Hans"/>
        </w:rPr>
      </w:pPr>
      <w:r>
        <w:rPr>
          <w:rFonts w:hint="default" w:ascii="宋体" w:hAnsi="宋体" w:eastAsia="宋体" w:cs="宋体"/>
          <w:kern w:val="2"/>
          <w:sz w:val="24"/>
          <w:szCs w:val="24"/>
          <w:highlight w:val="none"/>
          <w:lang w:eastAsia="zh-Hans"/>
        </w:rPr>
        <w:t>2）</w:t>
      </w:r>
      <w:r>
        <w:rPr>
          <w:rFonts w:hint="eastAsia" w:ascii="宋体" w:hAnsi="宋体" w:eastAsia="宋体" w:cs="宋体"/>
          <w:kern w:val="2"/>
          <w:sz w:val="24"/>
          <w:szCs w:val="24"/>
          <w:highlight w:val="none"/>
          <w:lang w:val="en-US" w:eastAsia="zh-Hans"/>
        </w:rPr>
        <w:t>配合甲方</w:t>
      </w:r>
      <w:r>
        <w:rPr>
          <w:rFonts w:hint="eastAsia" w:ascii="宋体" w:hAnsi="宋体" w:eastAsia="宋体" w:cs="宋体"/>
          <w:bCs/>
          <w:kern w:val="0"/>
          <w:sz w:val="24"/>
          <w:szCs w:val="24"/>
          <w:highlight w:val="none"/>
          <w:lang w:eastAsia="zh-Hans"/>
        </w:rPr>
        <w:t>开展保密测评</w:t>
      </w:r>
      <w:r>
        <w:rPr>
          <w:rFonts w:ascii="宋体" w:hAnsi="宋体" w:eastAsia="宋体" w:cs="宋体"/>
          <w:bCs/>
          <w:kern w:val="0"/>
          <w:sz w:val="24"/>
          <w:szCs w:val="24"/>
          <w:highlight w:val="none"/>
          <w:lang w:eastAsia="zh-Hans"/>
        </w:rPr>
        <w:t>，</w:t>
      </w:r>
      <w:r>
        <w:rPr>
          <w:rFonts w:hint="eastAsia" w:ascii="宋体" w:hAnsi="宋体" w:eastAsia="宋体" w:cs="宋体"/>
          <w:bCs/>
          <w:kern w:val="0"/>
          <w:sz w:val="24"/>
          <w:szCs w:val="24"/>
          <w:highlight w:val="none"/>
          <w:lang w:eastAsia="zh-Hans"/>
        </w:rPr>
        <w:t>取得保密许可</w:t>
      </w:r>
      <w:r>
        <w:rPr>
          <w:rFonts w:ascii="宋体" w:hAnsi="宋体" w:eastAsia="宋体" w:cs="宋体"/>
          <w:bCs/>
          <w:kern w:val="0"/>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Cs/>
          <w:kern w:val="0"/>
          <w:sz w:val="24"/>
          <w:szCs w:val="24"/>
          <w:highlight w:val="none"/>
        </w:rPr>
      </w:pPr>
      <w:r>
        <w:rPr>
          <w:rFonts w:hint="default" w:ascii="宋体" w:hAnsi="宋体" w:eastAsia="宋体" w:cs="宋体"/>
          <w:kern w:val="2"/>
          <w:sz w:val="24"/>
          <w:szCs w:val="24"/>
          <w:highlight w:val="none"/>
          <w:lang w:eastAsia="zh-CN"/>
        </w:rPr>
        <w:t>3）</w:t>
      </w:r>
      <w:r>
        <w:rPr>
          <w:rFonts w:hint="eastAsia" w:ascii="宋体" w:hAnsi="宋体" w:eastAsia="宋体" w:cs="宋体"/>
          <w:bCs/>
          <w:kern w:val="0"/>
          <w:sz w:val="24"/>
          <w:szCs w:val="24"/>
          <w:highlight w:val="none"/>
        </w:rPr>
        <w:t>指导EPG组在</w:t>
      </w:r>
      <w:r>
        <w:rPr>
          <w:rFonts w:hint="eastAsia" w:ascii="宋体" w:hAnsi="宋体" w:eastAsia="宋体" w:cs="宋体"/>
          <w:bCs/>
          <w:kern w:val="0"/>
          <w:sz w:val="24"/>
          <w:szCs w:val="24"/>
          <w:highlight w:val="none"/>
          <w:lang w:eastAsia="zh-Hans"/>
        </w:rPr>
        <w:t>平台</w:t>
      </w:r>
      <w:r>
        <w:rPr>
          <w:rFonts w:hint="eastAsia" w:ascii="宋体" w:hAnsi="宋体" w:eastAsia="宋体" w:cs="宋体"/>
          <w:bCs/>
          <w:kern w:val="0"/>
          <w:sz w:val="24"/>
          <w:szCs w:val="24"/>
          <w:highlight w:val="none"/>
        </w:rPr>
        <w:t>上建立组织级的标准体系、人员信息，定义人员工作职责及职位</w:t>
      </w:r>
      <w:r>
        <w:rPr>
          <w:rFonts w:ascii="宋体" w:hAnsi="宋体" w:eastAsia="宋体" w:cs="宋体"/>
          <w:bCs/>
          <w:kern w:val="0"/>
          <w:sz w:val="24"/>
          <w:szCs w:val="24"/>
          <w:highlight w:val="none"/>
        </w:rPr>
        <w:t>，</w:t>
      </w:r>
      <w:r>
        <w:rPr>
          <w:rFonts w:hint="eastAsia" w:ascii="宋体" w:hAnsi="宋体" w:eastAsia="宋体" w:cs="宋体"/>
          <w:bCs/>
          <w:kern w:val="0"/>
          <w:sz w:val="24"/>
          <w:szCs w:val="24"/>
          <w:highlight w:val="none"/>
        </w:rPr>
        <w:t>定义角色信息和角色视图，创建各类报告</w:t>
      </w:r>
      <w:r>
        <w:rPr>
          <w:rFonts w:ascii="宋体" w:hAnsi="宋体" w:eastAsia="宋体" w:cs="宋体"/>
          <w:bCs/>
          <w:kern w:val="0"/>
          <w:sz w:val="24"/>
          <w:szCs w:val="24"/>
          <w:highlight w:val="none"/>
        </w:rPr>
        <w:t>、</w:t>
      </w:r>
      <w:r>
        <w:rPr>
          <w:rFonts w:hint="eastAsia" w:ascii="宋体" w:hAnsi="宋体" w:eastAsia="宋体" w:cs="宋体"/>
          <w:bCs/>
          <w:kern w:val="0"/>
          <w:sz w:val="24"/>
          <w:szCs w:val="24"/>
          <w:highlight w:val="none"/>
        </w:rPr>
        <w:t>模板</w:t>
      </w:r>
      <w:r>
        <w:rPr>
          <w:rFonts w:hint="eastAsia" w:ascii="宋体" w:hAnsi="宋体" w:eastAsia="宋体" w:cs="宋体"/>
          <w:bCs/>
          <w:kern w:val="0"/>
          <w:sz w:val="24"/>
          <w:szCs w:val="24"/>
          <w:highlight w:val="none"/>
          <w:lang w:eastAsia="zh-Hans"/>
        </w:rPr>
        <w:t>和检查单</w:t>
      </w:r>
      <w:r>
        <w:rPr>
          <w:rFonts w:hint="eastAsia" w:ascii="宋体" w:hAnsi="宋体" w:eastAsia="宋体" w:cs="宋体"/>
          <w:bCs/>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default" w:ascii="宋体" w:hAnsi="宋体" w:eastAsia="宋体" w:cs="宋体"/>
          <w:kern w:val="2"/>
          <w:sz w:val="24"/>
          <w:szCs w:val="24"/>
          <w:highlight w:val="none"/>
          <w:lang w:eastAsia="zh-Hans"/>
        </w:rPr>
        <w:t>4）</w:t>
      </w:r>
      <w:r>
        <w:rPr>
          <w:rFonts w:hint="eastAsia" w:ascii="宋体" w:hAnsi="宋体" w:eastAsia="宋体" w:cs="宋体"/>
          <w:kern w:val="2"/>
          <w:sz w:val="24"/>
          <w:szCs w:val="24"/>
          <w:highlight w:val="none"/>
          <w:lang w:val="en-US" w:eastAsia="zh-Hans"/>
        </w:rPr>
        <w:t>通过与体系融合</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实现软件管理平台的本地化定制和优化</w:t>
      </w:r>
      <w:r>
        <w:rPr>
          <w:rFonts w:hint="eastAsia" w:ascii="宋体" w:hAnsi="宋体" w:eastAsia="宋体" w:cs="宋体"/>
          <w:b/>
          <w:bCs/>
          <w:kern w:val="2"/>
          <w:sz w:val="24"/>
          <w:szCs w:val="24"/>
          <w:highlight w:val="none"/>
          <w:lang w:val="en-US" w:eastAsia="zh-CN"/>
        </w:rPr>
        <w:t>（需提供承诺函）</w:t>
      </w:r>
      <w:r>
        <w:rPr>
          <w:rFonts w:hint="default" w:ascii="宋体" w:hAnsi="宋体" w:eastAsia="宋体" w:cs="宋体"/>
          <w:kern w:val="2"/>
          <w:sz w:val="24"/>
          <w:szCs w:val="24"/>
          <w:highlight w:val="none"/>
          <w:lang w:eastAsia="zh-Hans"/>
        </w:rPr>
        <w:t>。</w:t>
      </w:r>
    </w:p>
    <w:p>
      <w:pPr>
        <w:widowControl/>
        <w:spacing w:before="240" w:beforeLines="100" w:after="120" w:line="260" w:lineRule="auto"/>
        <w:ind w:left="0" w:firstLine="0"/>
        <w:jc w:val="left"/>
        <w:textAlignment w:val="baseline"/>
        <w:rPr>
          <w:rFonts w:ascii="黑体" w:hAnsi="黑体" w:eastAsia="黑体" w:cs="黑体"/>
          <w:kern w:val="0"/>
          <w:sz w:val="24"/>
          <w:szCs w:val="24"/>
          <w:highlight w:val="none"/>
          <w:lang w:val="zh-CN" w:eastAsia="zh-Hans" w:bidi="ar-SA"/>
        </w:rPr>
      </w:pPr>
      <w:r>
        <w:rPr>
          <w:rFonts w:ascii="黑体" w:hAnsi="黑体" w:eastAsia="黑体" w:cs="黑体"/>
          <w:kern w:val="0"/>
          <w:sz w:val="24"/>
          <w:szCs w:val="24"/>
          <w:highlight w:val="none"/>
          <w:lang w:val="zh-CN" w:eastAsia="zh-Hans" w:bidi="ar-SA"/>
        </w:rPr>
        <w:t>2</w:t>
      </w:r>
      <w:r>
        <w:rPr>
          <w:rFonts w:hint="eastAsia" w:ascii="黑体" w:hAnsi="黑体" w:eastAsia="黑体" w:cs="黑体"/>
          <w:kern w:val="0"/>
          <w:sz w:val="24"/>
          <w:szCs w:val="24"/>
          <w:highlight w:val="none"/>
          <w:lang w:val="zh-CN" w:eastAsia="zh-Hans" w:bidi="ar-SA"/>
        </w:rPr>
        <w:t>.</w:t>
      </w:r>
      <w:r>
        <w:rPr>
          <w:rFonts w:ascii="黑体" w:hAnsi="黑体" w:eastAsia="黑体" w:cs="黑体"/>
          <w:kern w:val="0"/>
          <w:sz w:val="24"/>
          <w:szCs w:val="24"/>
          <w:highlight w:val="none"/>
          <w:lang w:val="zh-CN" w:eastAsia="zh-Hans" w:bidi="ar-SA"/>
        </w:rPr>
        <w:t xml:space="preserve">4 </w:t>
      </w:r>
      <w:r>
        <w:rPr>
          <w:rFonts w:hint="eastAsia" w:ascii="黑体" w:hAnsi="黑体" w:eastAsia="黑体" w:cs="黑体"/>
          <w:kern w:val="0"/>
          <w:sz w:val="24"/>
          <w:szCs w:val="24"/>
          <w:highlight w:val="none"/>
          <w:lang w:val="zh-CN" w:eastAsia="zh-Hans" w:bidi="ar-SA"/>
        </w:rPr>
        <w:t>软件管理平台技术要求</w:t>
      </w:r>
    </w:p>
    <w:p>
      <w:pPr>
        <w:widowControl/>
        <w:spacing w:after="0" w:line="360" w:lineRule="auto"/>
        <w:textAlignment w:val="baseline"/>
        <w:rPr>
          <w:rFonts w:hint="eastAsia" w:ascii="黑体" w:hAnsi="黑体" w:eastAsia="黑体" w:cs="黑体"/>
          <w:kern w:val="2"/>
          <w:sz w:val="24"/>
          <w:szCs w:val="24"/>
          <w:highlight w:val="none"/>
          <w:lang w:eastAsia="zh-CN"/>
        </w:rPr>
      </w:pPr>
      <w:r>
        <w:rPr>
          <w:rFonts w:hint="default" w:ascii="黑体" w:hAnsi="黑体" w:eastAsia="黑体" w:cs="黑体"/>
          <w:kern w:val="2"/>
          <w:sz w:val="24"/>
          <w:szCs w:val="24"/>
          <w:highlight w:val="none"/>
          <w:lang w:eastAsia="zh-CN"/>
        </w:rPr>
        <w:t>2</w:t>
      </w:r>
      <w:r>
        <w:rPr>
          <w:rFonts w:hint="eastAsia" w:ascii="黑体" w:hAnsi="黑体" w:eastAsia="黑体" w:cs="黑体"/>
          <w:kern w:val="2"/>
          <w:sz w:val="24"/>
          <w:szCs w:val="24"/>
          <w:highlight w:val="none"/>
          <w:lang w:val="en-US" w:eastAsia="zh-Hans"/>
        </w:rPr>
        <w:t>.</w:t>
      </w:r>
      <w:r>
        <w:rPr>
          <w:rFonts w:hint="default" w:ascii="黑体" w:hAnsi="黑体" w:eastAsia="黑体" w:cs="黑体"/>
          <w:kern w:val="2"/>
          <w:sz w:val="24"/>
          <w:szCs w:val="24"/>
          <w:highlight w:val="none"/>
          <w:lang w:eastAsia="zh-Hans"/>
        </w:rPr>
        <w:t>4</w:t>
      </w:r>
      <w:r>
        <w:rPr>
          <w:rFonts w:hint="eastAsia" w:ascii="黑体" w:hAnsi="黑体" w:eastAsia="黑体" w:cs="黑体"/>
          <w:kern w:val="2"/>
          <w:sz w:val="24"/>
          <w:szCs w:val="24"/>
          <w:highlight w:val="none"/>
          <w:lang w:val="en-US" w:eastAsia="zh-Hans"/>
        </w:rPr>
        <w:t>.</w:t>
      </w:r>
      <w:r>
        <w:rPr>
          <w:rFonts w:hint="default" w:ascii="黑体" w:hAnsi="黑体" w:eastAsia="黑体" w:cs="黑体"/>
          <w:kern w:val="2"/>
          <w:sz w:val="24"/>
          <w:szCs w:val="24"/>
          <w:highlight w:val="none"/>
          <w:lang w:eastAsia="zh-Hans"/>
        </w:rPr>
        <w:t>1</w:t>
      </w:r>
      <w:r>
        <w:rPr>
          <w:rFonts w:hint="eastAsia" w:ascii="黑体" w:hAnsi="黑体" w:eastAsia="黑体" w:cs="黑体"/>
          <w:kern w:val="2"/>
          <w:sz w:val="24"/>
          <w:szCs w:val="24"/>
          <w:highlight w:val="none"/>
          <w:lang w:val="en-US" w:eastAsia="zh-Hans"/>
        </w:rPr>
        <w:t>通用</w:t>
      </w:r>
      <w:r>
        <w:rPr>
          <w:rFonts w:hint="eastAsia" w:ascii="黑体" w:hAnsi="黑体" w:eastAsia="黑体" w:cs="黑体"/>
          <w:kern w:val="2"/>
          <w:sz w:val="24"/>
          <w:szCs w:val="24"/>
          <w:highlight w:val="none"/>
          <w:lang w:eastAsia="zh-CN"/>
        </w:rPr>
        <w:t>要求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kern w:val="2"/>
          <w:sz w:val="24"/>
          <w:szCs w:val="24"/>
          <w:highlight w:val="none"/>
          <w:lang w:val="en-US" w:eastAsia="zh-CN"/>
        </w:rPr>
      </w:pPr>
      <w:r>
        <w:rPr>
          <w:rFonts w:hint="default" w:ascii="宋体" w:hAnsi="宋体" w:eastAsia="宋体" w:cs="宋体"/>
          <w:b/>
          <w:bCs/>
          <w:kern w:val="2"/>
          <w:sz w:val="24"/>
          <w:szCs w:val="24"/>
          <w:highlight w:val="none"/>
          <w:lang w:eastAsia="zh-CN"/>
        </w:rPr>
        <w:t>1）</w:t>
      </w:r>
      <w:r>
        <w:rPr>
          <w:rFonts w:hint="eastAsia" w:ascii="宋体" w:hAnsi="宋体" w:eastAsia="宋体" w:cs="宋体"/>
          <w:b/>
          <w:bCs/>
          <w:kern w:val="2"/>
          <w:sz w:val="24"/>
          <w:szCs w:val="24"/>
          <w:highlight w:val="none"/>
          <w:lang w:val="en-US" w:eastAsia="zh-CN"/>
        </w:rPr>
        <w:t>GJB5000B二级标准合规性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CN"/>
        </w:rPr>
        <w:t>软件研制过程管理系统提供的功能应能对标到GJB5000B二级相关的实践域要求，确保软件项目在软件管理</w:t>
      </w:r>
      <w:r>
        <w:rPr>
          <w:rFonts w:hint="eastAsia" w:ascii="宋体" w:hAnsi="宋体" w:eastAsia="宋体" w:cs="宋体"/>
          <w:kern w:val="2"/>
          <w:sz w:val="24"/>
          <w:szCs w:val="24"/>
          <w:highlight w:val="none"/>
          <w:lang w:val="en-US" w:eastAsia="zh-Hans"/>
        </w:rPr>
        <w:t>平台</w:t>
      </w:r>
      <w:r>
        <w:rPr>
          <w:rFonts w:hint="eastAsia" w:ascii="宋体" w:hAnsi="宋体" w:eastAsia="宋体" w:cs="宋体"/>
          <w:kern w:val="2"/>
          <w:sz w:val="24"/>
          <w:szCs w:val="24"/>
          <w:highlight w:val="none"/>
          <w:lang w:val="en-US" w:eastAsia="zh-CN"/>
        </w:rPr>
        <w:t>上运行后，其过程是符合GJB5000B二级标准要求的、能够接受并通过GJB5000B二级评价</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Hans"/>
        </w:rPr>
        <w:t>详见</w:t>
      </w:r>
      <w:r>
        <w:rPr>
          <w:rFonts w:hint="default"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lang w:val="en-US" w:eastAsia="zh-Hans"/>
        </w:rPr>
        <w:t>.</w:t>
      </w:r>
      <w:r>
        <w:rPr>
          <w:rFonts w:hint="default" w:ascii="宋体" w:hAnsi="宋体" w:eastAsia="宋体" w:cs="宋体"/>
          <w:kern w:val="2"/>
          <w:sz w:val="24"/>
          <w:szCs w:val="24"/>
          <w:highlight w:val="none"/>
          <w:lang w:val="en-US" w:eastAsia="zh-Hans"/>
        </w:rPr>
        <w:t>4</w:t>
      </w:r>
      <w:r>
        <w:rPr>
          <w:rFonts w:hint="eastAsia" w:ascii="宋体" w:hAnsi="宋体" w:eastAsia="宋体" w:cs="宋体"/>
          <w:kern w:val="2"/>
          <w:sz w:val="24"/>
          <w:szCs w:val="24"/>
          <w:highlight w:val="none"/>
          <w:lang w:val="en-US" w:eastAsia="zh-Hans"/>
        </w:rPr>
        <w:t>.</w:t>
      </w:r>
      <w:r>
        <w:rPr>
          <w:rFonts w:hint="default" w:ascii="宋体" w:hAnsi="宋体" w:eastAsia="宋体" w:cs="宋体"/>
          <w:kern w:val="2"/>
          <w:sz w:val="24"/>
          <w:szCs w:val="24"/>
          <w:highlight w:val="none"/>
          <w:lang w:val="en-US" w:eastAsia="zh-Hans"/>
        </w:rPr>
        <w:t>3</w:t>
      </w:r>
      <w:r>
        <w:rPr>
          <w:rFonts w:hint="eastAsia" w:ascii="宋体" w:hAnsi="宋体" w:eastAsia="宋体" w:cs="宋体"/>
          <w:kern w:val="2"/>
          <w:sz w:val="24"/>
          <w:szCs w:val="24"/>
          <w:highlight w:val="none"/>
          <w:lang w:val="en-US" w:eastAsia="zh-Hans"/>
        </w:rPr>
        <w:t>节</w:t>
      </w:r>
      <w:r>
        <w:rPr>
          <w:rFonts w:hint="default" w:ascii="宋体" w:hAnsi="宋体" w:eastAsia="宋体" w:cs="宋体"/>
          <w:kern w:val="2"/>
          <w:sz w:val="24"/>
          <w:szCs w:val="24"/>
          <w:highlight w:val="none"/>
          <w:lang w:eastAsia="zh-Hans"/>
        </w:rPr>
        <w:t>）</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default" w:ascii="宋体" w:hAnsi="宋体" w:eastAsia="宋体" w:cs="宋体"/>
          <w:b/>
          <w:bCs w:val="0"/>
          <w:kern w:val="0"/>
          <w:sz w:val="24"/>
          <w:szCs w:val="24"/>
          <w:highlight w:val="none"/>
          <w:lang w:val="en-US" w:eastAsia="zh-Hans"/>
        </w:rPr>
      </w:pPr>
      <w:r>
        <w:rPr>
          <w:rFonts w:hint="default" w:ascii="宋体" w:hAnsi="宋体" w:eastAsia="宋体" w:cs="宋体"/>
          <w:b/>
          <w:bCs w:val="0"/>
          <w:kern w:val="0"/>
          <w:sz w:val="24"/>
          <w:szCs w:val="24"/>
          <w:highlight w:val="none"/>
          <w:lang w:eastAsia="zh-CN"/>
        </w:rPr>
        <w:t>2）</w:t>
      </w:r>
      <w:r>
        <w:rPr>
          <w:rFonts w:hint="eastAsia" w:ascii="宋体" w:hAnsi="宋体" w:eastAsia="宋体" w:cs="宋体"/>
          <w:b/>
          <w:bCs w:val="0"/>
          <w:kern w:val="0"/>
          <w:sz w:val="24"/>
          <w:szCs w:val="24"/>
          <w:highlight w:val="none"/>
          <w:lang w:val="en-US" w:eastAsia="zh-Hans"/>
        </w:rPr>
        <w:t>软件管理平台自主可控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b w:val="0"/>
          <w:bCs/>
          <w:kern w:val="0"/>
          <w:sz w:val="24"/>
          <w:szCs w:val="24"/>
          <w:highlight w:val="none"/>
          <w:lang w:eastAsia="zh-CN"/>
        </w:rPr>
      </w:pPr>
      <w:r>
        <w:rPr>
          <w:rFonts w:hint="eastAsia" w:ascii="宋体" w:hAnsi="宋体" w:eastAsia="宋体" w:cs="宋体"/>
          <w:b w:val="0"/>
          <w:bCs/>
          <w:kern w:val="0"/>
          <w:sz w:val="24"/>
          <w:szCs w:val="24"/>
          <w:highlight w:val="none"/>
          <w:lang w:val="en-US" w:eastAsia="zh-Hans"/>
        </w:rPr>
        <w:t>软件管理平台应是自主研发，拥有自主知识产权，可进行本地化二次开发</w:t>
      </w:r>
      <w:r>
        <w:rPr>
          <w:rFonts w:hint="eastAsia" w:ascii="宋体" w:hAnsi="宋体" w:eastAsia="宋体" w:cs="宋体"/>
          <w:b w:val="0"/>
          <w:bCs/>
          <w:kern w:val="0"/>
          <w:sz w:val="24"/>
          <w:szCs w:val="24"/>
          <w:highlight w:val="none"/>
          <w:lang w:val="en-US" w:eastAsia="zh-CN"/>
        </w:rPr>
        <w:t>，可在国产化软硬件环境上运行</w:t>
      </w:r>
      <w:r>
        <w:rPr>
          <w:rFonts w:hint="eastAsia" w:ascii="宋体" w:hAnsi="宋体" w:eastAsia="宋体" w:cs="宋体"/>
          <w:b w:val="0"/>
          <w:bCs/>
          <w:kern w:val="0"/>
          <w:sz w:val="24"/>
          <w:szCs w:val="24"/>
          <w:highlight w:val="none"/>
          <w:lang w:val="en-US" w:eastAsia="zh-Hans"/>
        </w:rPr>
        <w:t>的国产软件系统</w:t>
      </w:r>
      <w:r>
        <w:rPr>
          <w:rFonts w:hint="default" w:ascii="宋体" w:hAnsi="宋体" w:eastAsia="宋体" w:cs="宋体"/>
          <w:b w:val="0"/>
          <w:bCs/>
          <w:kern w:val="0"/>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kern w:val="2"/>
          <w:sz w:val="24"/>
          <w:szCs w:val="24"/>
          <w:highlight w:val="none"/>
          <w:lang w:val="en-US" w:eastAsia="zh-CN"/>
        </w:rPr>
      </w:pPr>
      <w:r>
        <w:rPr>
          <w:rFonts w:hint="default" w:ascii="宋体" w:hAnsi="宋体" w:eastAsia="宋体" w:cs="宋体"/>
          <w:b/>
          <w:bCs/>
          <w:kern w:val="2"/>
          <w:sz w:val="24"/>
          <w:szCs w:val="24"/>
          <w:highlight w:val="none"/>
          <w:lang w:eastAsia="zh-CN"/>
        </w:rPr>
        <w:t>3）</w:t>
      </w:r>
      <w:r>
        <w:rPr>
          <w:rFonts w:hint="eastAsia" w:ascii="宋体" w:hAnsi="宋体" w:eastAsia="宋体" w:cs="宋体"/>
          <w:b/>
          <w:bCs/>
          <w:kern w:val="2"/>
          <w:sz w:val="24"/>
          <w:szCs w:val="24"/>
          <w:highlight w:val="none"/>
          <w:lang w:val="en-US" w:eastAsia="zh-CN"/>
        </w:rPr>
        <w:t>国产化软硬件环境适配性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CN"/>
        </w:rPr>
      </w:pPr>
      <w:r>
        <w:rPr>
          <w:rFonts w:hint="eastAsia" w:ascii="宋体" w:hAnsi="宋体" w:eastAsia="宋体" w:cs="宋体"/>
          <w:b w:val="0"/>
          <w:bCs/>
          <w:kern w:val="0"/>
          <w:sz w:val="24"/>
          <w:szCs w:val="24"/>
          <w:highlight w:val="none"/>
          <w:lang w:val="en-US" w:eastAsia="zh-Hans"/>
        </w:rPr>
        <w:t>在</w:t>
      </w:r>
      <w:r>
        <w:rPr>
          <w:rFonts w:hint="eastAsia" w:ascii="宋体" w:hAnsi="宋体" w:eastAsia="宋体" w:cs="宋体"/>
          <w:b w:val="0"/>
          <w:bCs/>
          <w:kern w:val="0"/>
          <w:sz w:val="24"/>
          <w:szCs w:val="24"/>
          <w:highlight w:val="none"/>
          <w:lang w:eastAsia="zh-Hans"/>
        </w:rPr>
        <w:t>《</w:t>
      </w:r>
      <w:r>
        <w:rPr>
          <w:rFonts w:hint="default" w:ascii="宋体" w:hAnsi="宋体" w:eastAsia="宋体" w:cs="宋体"/>
          <w:b w:val="0"/>
          <w:bCs/>
          <w:kern w:val="0"/>
          <w:sz w:val="24"/>
          <w:szCs w:val="24"/>
          <w:highlight w:val="none"/>
          <w:lang w:eastAsia="zh-Hans"/>
        </w:rPr>
        <w:t>XX</w:t>
      </w:r>
      <w:r>
        <w:rPr>
          <w:rFonts w:hint="eastAsia" w:ascii="宋体" w:hAnsi="宋体" w:eastAsia="宋体" w:cs="宋体"/>
          <w:b w:val="0"/>
          <w:bCs/>
          <w:kern w:val="0"/>
          <w:sz w:val="24"/>
          <w:szCs w:val="24"/>
          <w:highlight w:val="none"/>
          <w:lang w:val="en-US" w:eastAsia="zh-Hans"/>
        </w:rPr>
        <w:t>工程核心产品</w:t>
      </w:r>
      <w:r>
        <w:rPr>
          <w:rFonts w:hint="eastAsia" w:ascii="宋体" w:hAnsi="宋体" w:eastAsia="宋体" w:cs="宋体"/>
          <w:b w:val="0"/>
          <w:bCs/>
          <w:kern w:val="0"/>
          <w:sz w:val="24"/>
          <w:szCs w:val="24"/>
          <w:highlight w:val="none"/>
          <w:lang w:eastAsia="zh-Hans"/>
        </w:rPr>
        <w:t>名录》</w:t>
      </w:r>
      <w:r>
        <w:rPr>
          <w:rFonts w:hint="default" w:ascii="宋体" w:hAnsi="宋体" w:eastAsia="宋体" w:cs="宋体"/>
          <w:b w:val="0"/>
          <w:bCs/>
          <w:kern w:val="0"/>
          <w:sz w:val="24"/>
          <w:szCs w:val="24"/>
          <w:highlight w:val="none"/>
          <w:lang w:eastAsia="zh-Hans"/>
        </w:rPr>
        <w:t>（</w:t>
      </w:r>
      <w:r>
        <w:rPr>
          <w:rFonts w:hint="eastAsia" w:ascii="宋体" w:hAnsi="宋体" w:eastAsia="宋体" w:cs="宋体"/>
          <w:b w:val="0"/>
          <w:bCs/>
          <w:kern w:val="0"/>
          <w:sz w:val="24"/>
          <w:szCs w:val="24"/>
          <w:highlight w:val="none"/>
          <w:lang w:val="en-US" w:eastAsia="zh-Hans"/>
        </w:rPr>
        <w:t>最新版</w:t>
      </w:r>
      <w:r>
        <w:rPr>
          <w:rFonts w:hint="default" w:ascii="宋体" w:hAnsi="宋体" w:eastAsia="宋体" w:cs="宋体"/>
          <w:b w:val="0"/>
          <w:bCs/>
          <w:kern w:val="0"/>
          <w:sz w:val="24"/>
          <w:szCs w:val="24"/>
          <w:highlight w:val="none"/>
          <w:lang w:eastAsia="zh-Hans"/>
        </w:rPr>
        <w:t>）</w:t>
      </w:r>
      <w:r>
        <w:rPr>
          <w:rFonts w:hint="eastAsia" w:ascii="宋体" w:hAnsi="宋体" w:eastAsia="宋体" w:cs="宋体"/>
          <w:b w:val="0"/>
          <w:bCs/>
          <w:kern w:val="0"/>
          <w:sz w:val="24"/>
          <w:szCs w:val="24"/>
          <w:highlight w:val="none"/>
          <w:lang w:val="en-US" w:eastAsia="zh-Hans"/>
        </w:rPr>
        <w:t>中</w:t>
      </w:r>
      <w:r>
        <w:rPr>
          <w:rFonts w:hint="eastAsia" w:ascii="宋体" w:hAnsi="宋体" w:eastAsia="宋体" w:cs="宋体"/>
          <w:b w:val="0"/>
          <w:bCs/>
          <w:kern w:val="0"/>
          <w:sz w:val="24"/>
          <w:szCs w:val="24"/>
          <w:highlight w:val="none"/>
          <w:lang w:eastAsia="zh-Hans"/>
        </w:rPr>
        <w:t>进行设备选型和采购，操作系统</w:t>
      </w:r>
      <w:r>
        <w:rPr>
          <w:rFonts w:hint="default" w:ascii="宋体" w:hAnsi="宋体" w:eastAsia="宋体" w:cs="宋体"/>
          <w:b w:val="0"/>
          <w:bCs/>
          <w:kern w:val="0"/>
          <w:sz w:val="24"/>
          <w:szCs w:val="24"/>
          <w:highlight w:val="none"/>
          <w:lang w:eastAsia="zh-Hans"/>
        </w:rPr>
        <w:t>、</w:t>
      </w:r>
      <w:r>
        <w:rPr>
          <w:rFonts w:hint="eastAsia" w:ascii="宋体" w:hAnsi="宋体" w:eastAsia="宋体" w:cs="宋体"/>
          <w:b w:val="0"/>
          <w:bCs/>
          <w:kern w:val="0"/>
          <w:sz w:val="24"/>
          <w:szCs w:val="24"/>
          <w:highlight w:val="none"/>
          <w:lang w:eastAsia="zh-Hans"/>
        </w:rPr>
        <w:t>数据库软件</w:t>
      </w:r>
      <w:r>
        <w:rPr>
          <w:rFonts w:hint="eastAsia" w:ascii="宋体" w:hAnsi="宋体" w:eastAsia="宋体" w:cs="宋体"/>
          <w:b w:val="0"/>
          <w:bCs/>
          <w:kern w:val="0"/>
          <w:sz w:val="24"/>
          <w:szCs w:val="24"/>
          <w:highlight w:val="none"/>
          <w:lang w:val="en-US" w:eastAsia="zh-Hans"/>
        </w:rPr>
        <w:t>满足</w:t>
      </w:r>
      <w:r>
        <w:rPr>
          <w:rFonts w:hint="eastAsia" w:ascii="宋体" w:hAnsi="宋体" w:eastAsia="宋体" w:cs="宋体"/>
          <w:b w:val="0"/>
          <w:bCs/>
          <w:kern w:val="0"/>
          <w:sz w:val="24"/>
          <w:szCs w:val="24"/>
          <w:highlight w:val="none"/>
          <w:lang w:eastAsia="zh-Hans"/>
        </w:rPr>
        <w:t>国产</w:t>
      </w:r>
      <w:r>
        <w:rPr>
          <w:rFonts w:hint="eastAsia" w:ascii="宋体" w:hAnsi="宋体" w:eastAsia="宋体" w:cs="宋体"/>
          <w:kern w:val="2"/>
          <w:sz w:val="24"/>
          <w:szCs w:val="24"/>
          <w:highlight w:val="none"/>
          <w:lang w:eastAsia="zh-Hans"/>
        </w:rPr>
        <w:t>自主</w:t>
      </w:r>
      <w:r>
        <w:rPr>
          <w:rFonts w:hint="eastAsia" w:ascii="宋体" w:hAnsi="宋体" w:eastAsia="宋体" w:cs="宋体"/>
          <w:b w:val="0"/>
          <w:bCs/>
          <w:kern w:val="0"/>
          <w:sz w:val="24"/>
          <w:szCs w:val="24"/>
          <w:highlight w:val="none"/>
          <w:lang w:eastAsia="zh-Hans"/>
        </w:rPr>
        <w:t>可控</w:t>
      </w:r>
      <w:r>
        <w:rPr>
          <w:rFonts w:hint="eastAsia" w:ascii="宋体" w:hAnsi="宋体" w:eastAsia="宋体" w:cs="宋体"/>
          <w:b w:val="0"/>
          <w:bCs/>
          <w:kern w:val="0"/>
          <w:sz w:val="24"/>
          <w:szCs w:val="24"/>
          <w:highlight w:val="none"/>
          <w:lang w:val="en-US" w:eastAsia="zh-Hans"/>
        </w:rPr>
        <w:t>要求</w:t>
      </w:r>
      <w:r>
        <w:rPr>
          <w:rFonts w:hint="eastAsia" w:ascii="宋体" w:hAnsi="宋体" w:eastAsia="宋体" w:cs="宋体"/>
          <w:kern w:val="2"/>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kern w:val="2"/>
          <w:sz w:val="24"/>
          <w:szCs w:val="24"/>
          <w:highlight w:val="none"/>
          <w:lang w:eastAsia="zh-Hans"/>
        </w:rPr>
      </w:pPr>
      <w:r>
        <w:rPr>
          <w:rFonts w:hint="default" w:ascii="宋体" w:hAnsi="宋体" w:eastAsia="宋体" w:cs="宋体"/>
          <w:b/>
          <w:bCs/>
          <w:kern w:val="2"/>
          <w:sz w:val="24"/>
          <w:szCs w:val="24"/>
          <w:highlight w:val="none"/>
          <w:lang w:eastAsia="zh-Hans"/>
        </w:rPr>
        <w:t>4）</w:t>
      </w:r>
      <w:r>
        <w:rPr>
          <w:rFonts w:hint="eastAsia" w:ascii="宋体" w:hAnsi="宋体" w:eastAsia="宋体" w:cs="宋体"/>
          <w:b/>
          <w:bCs/>
          <w:kern w:val="2"/>
          <w:sz w:val="24"/>
          <w:szCs w:val="24"/>
          <w:highlight w:val="none"/>
          <w:lang w:val="en-US" w:eastAsia="zh-Hans"/>
        </w:rPr>
        <w:t>安</w:t>
      </w:r>
      <w:r>
        <w:rPr>
          <w:rFonts w:hint="eastAsia" w:ascii="宋体" w:hAnsi="宋体" w:eastAsia="宋体" w:cs="宋体"/>
          <w:b/>
          <w:bCs/>
          <w:kern w:val="2"/>
          <w:sz w:val="24"/>
          <w:szCs w:val="24"/>
          <w:highlight w:val="none"/>
          <w:lang w:eastAsia="zh-Hans"/>
        </w:rPr>
        <w:t>全保密功能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支持“三员”管理安全机制：系统管理员、安全保密员和安全审计员</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系统管理员负责平台系统配置及注册用户账号、注册角色信息等工作</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安全保密员负责为平台用户和角色赋权并使账号生效，并对平台用户行为进行审计</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安全审计员负责审计系统管理员及安全保密管理员的操作日志，并可以生成安全审计报告。</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kern w:val="2"/>
          <w:sz w:val="24"/>
          <w:szCs w:val="24"/>
          <w:highlight w:val="none"/>
          <w:lang w:eastAsia="zh-Hans"/>
        </w:rPr>
      </w:pPr>
      <w:r>
        <w:rPr>
          <w:rFonts w:hint="default" w:ascii="宋体" w:hAnsi="宋体" w:eastAsia="宋体" w:cs="宋体"/>
          <w:b/>
          <w:bCs/>
          <w:kern w:val="2"/>
          <w:sz w:val="24"/>
          <w:szCs w:val="24"/>
          <w:highlight w:val="none"/>
          <w:lang w:eastAsia="zh-Hans"/>
        </w:rPr>
        <w:t>5）</w:t>
      </w:r>
      <w:r>
        <w:rPr>
          <w:rFonts w:hint="eastAsia" w:ascii="宋体" w:hAnsi="宋体" w:eastAsia="宋体" w:cs="宋体"/>
          <w:b/>
          <w:bCs/>
          <w:kern w:val="2"/>
          <w:sz w:val="24"/>
          <w:szCs w:val="24"/>
          <w:highlight w:val="none"/>
          <w:lang w:eastAsia="zh-Hans"/>
        </w:rPr>
        <w:t>GJB</w:t>
      </w:r>
      <w:r>
        <w:rPr>
          <w:rFonts w:hint="default" w:ascii="宋体" w:hAnsi="宋体" w:eastAsia="宋体" w:cs="宋体"/>
          <w:b/>
          <w:bCs/>
          <w:kern w:val="2"/>
          <w:sz w:val="24"/>
          <w:szCs w:val="24"/>
          <w:highlight w:val="none"/>
          <w:lang w:eastAsia="zh-Hans"/>
        </w:rPr>
        <w:t xml:space="preserve"> </w:t>
      </w:r>
      <w:r>
        <w:rPr>
          <w:rFonts w:hint="eastAsia" w:ascii="宋体" w:hAnsi="宋体" w:eastAsia="宋体" w:cs="宋体"/>
          <w:b/>
          <w:bCs/>
          <w:kern w:val="2"/>
          <w:sz w:val="24"/>
          <w:szCs w:val="24"/>
          <w:highlight w:val="none"/>
          <w:lang w:eastAsia="zh-Hans"/>
        </w:rPr>
        <w:t>5000B升级要求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平台应具备升级到GJB 5000B三级及以上实践域的能力，为甲方后续提升软件成熟度等级提供管理平台的技术支撑。</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kern w:val="2"/>
          <w:sz w:val="24"/>
          <w:szCs w:val="24"/>
          <w:highlight w:val="none"/>
          <w:lang w:val="en-US" w:eastAsia="zh-CN"/>
        </w:rPr>
      </w:pPr>
      <w:r>
        <w:rPr>
          <w:rFonts w:hint="default" w:ascii="宋体" w:hAnsi="宋体" w:eastAsia="宋体" w:cs="宋体"/>
          <w:b/>
          <w:bCs/>
          <w:kern w:val="2"/>
          <w:sz w:val="24"/>
          <w:szCs w:val="24"/>
          <w:highlight w:val="none"/>
          <w:lang w:eastAsia="zh-Hans"/>
        </w:rPr>
        <w:t>6）</w:t>
      </w:r>
      <w:r>
        <w:rPr>
          <w:rFonts w:hint="eastAsia" w:ascii="宋体" w:hAnsi="宋体" w:eastAsia="宋体" w:cs="宋体"/>
          <w:b/>
          <w:bCs/>
          <w:kern w:val="2"/>
          <w:sz w:val="24"/>
          <w:szCs w:val="24"/>
          <w:highlight w:val="none"/>
          <w:lang w:val="en-US" w:eastAsia="zh-CN"/>
        </w:rPr>
        <w:t>工程实用性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CN"/>
        </w:rPr>
        <w:t>软件管理</w:t>
      </w:r>
      <w:r>
        <w:rPr>
          <w:rFonts w:hint="eastAsia" w:ascii="宋体" w:hAnsi="宋体" w:eastAsia="宋体" w:cs="宋体"/>
          <w:kern w:val="2"/>
          <w:sz w:val="24"/>
          <w:szCs w:val="24"/>
          <w:highlight w:val="none"/>
          <w:lang w:val="en-US" w:eastAsia="zh-Hans"/>
        </w:rPr>
        <w:t>平台</w:t>
      </w:r>
      <w:r>
        <w:rPr>
          <w:rFonts w:hint="eastAsia" w:ascii="宋体" w:hAnsi="宋体" w:eastAsia="宋体" w:cs="宋体"/>
          <w:kern w:val="2"/>
          <w:sz w:val="24"/>
          <w:szCs w:val="24"/>
          <w:highlight w:val="none"/>
          <w:lang w:val="en-US" w:eastAsia="zh-CN"/>
        </w:rPr>
        <w:t>除了提供GJB5000B二级标准要求的功能之外，还</w:t>
      </w:r>
      <w:r>
        <w:rPr>
          <w:rFonts w:hint="eastAsia" w:ascii="宋体" w:hAnsi="宋体" w:eastAsia="宋体" w:cs="宋体"/>
          <w:kern w:val="2"/>
          <w:sz w:val="24"/>
          <w:szCs w:val="24"/>
          <w:highlight w:val="none"/>
          <w:lang w:val="en-US" w:eastAsia="zh-Hans"/>
        </w:rPr>
        <w:t>应</w:t>
      </w:r>
      <w:r>
        <w:rPr>
          <w:rFonts w:hint="eastAsia" w:ascii="宋体" w:hAnsi="宋体" w:eastAsia="宋体" w:cs="宋体"/>
          <w:kern w:val="2"/>
          <w:sz w:val="24"/>
          <w:szCs w:val="24"/>
          <w:highlight w:val="none"/>
          <w:lang w:val="en-US" w:eastAsia="zh-CN"/>
        </w:rPr>
        <w:t>面向实际工程项目提供实用性功能支撑，</w:t>
      </w:r>
      <w:r>
        <w:rPr>
          <w:rFonts w:hint="eastAsia" w:ascii="宋体" w:hAnsi="宋体" w:eastAsia="宋体" w:cs="宋体"/>
          <w:kern w:val="2"/>
          <w:sz w:val="24"/>
          <w:szCs w:val="24"/>
          <w:highlight w:val="none"/>
          <w:lang w:val="en-US" w:eastAsia="zh-Hans"/>
        </w:rPr>
        <w:t>如软件测试问题管理</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评审管理</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风险管理</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资产复用等</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CN"/>
        </w:rPr>
        <w:t>能够让工程人员从</w:t>
      </w:r>
      <w:r>
        <w:rPr>
          <w:rFonts w:hint="eastAsia" w:ascii="宋体" w:hAnsi="宋体" w:eastAsia="宋体" w:cs="宋体"/>
          <w:kern w:val="2"/>
          <w:sz w:val="24"/>
          <w:szCs w:val="24"/>
          <w:highlight w:val="none"/>
          <w:lang w:val="en-US" w:eastAsia="zh-Hans"/>
        </w:rPr>
        <w:t>平台</w:t>
      </w:r>
      <w:r>
        <w:rPr>
          <w:rFonts w:hint="eastAsia" w:ascii="宋体" w:hAnsi="宋体" w:eastAsia="宋体" w:cs="宋体"/>
          <w:kern w:val="2"/>
          <w:sz w:val="24"/>
          <w:szCs w:val="24"/>
          <w:highlight w:val="none"/>
          <w:lang w:val="en-US" w:eastAsia="zh-CN"/>
        </w:rPr>
        <w:t>上实际受益</w:t>
      </w:r>
      <w:r>
        <w:rPr>
          <w:rFonts w:hint="default" w:ascii="宋体" w:hAnsi="宋体" w:eastAsia="宋体" w:cs="宋体"/>
          <w:kern w:val="2"/>
          <w:sz w:val="24"/>
          <w:szCs w:val="24"/>
          <w:highlight w:val="none"/>
          <w:lang w:eastAsia="zh-CN"/>
        </w:rPr>
        <w:t>。</w:t>
      </w:r>
    </w:p>
    <w:p>
      <w:pPr>
        <w:widowControl/>
        <w:spacing w:after="0" w:line="360" w:lineRule="auto"/>
        <w:textAlignment w:val="baseline"/>
        <w:rPr>
          <w:rFonts w:hint="eastAsia" w:ascii="黑体" w:hAnsi="黑体" w:eastAsia="黑体" w:cs="黑体"/>
          <w:kern w:val="2"/>
          <w:sz w:val="24"/>
          <w:szCs w:val="24"/>
          <w:highlight w:val="none"/>
          <w:lang w:eastAsia="zh-CN"/>
        </w:rPr>
      </w:pPr>
      <w:r>
        <w:rPr>
          <w:rFonts w:hint="default" w:ascii="黑体" w:hAnsi="黑体" w:eastAsia="黑体" w:cs="黑体"/>
          <w:kern w:val="2"/>
          <w:sz w:val="24"/>
          <w:szCs w:val="24"/>
          <w:highlight w:val="none"/>
          <w:lang w:eastAsia="zh-CN"/>
        </w:rPr>
        <w:t>2</w:t>
      </w:r>
      <w:r>
        <w:rPr>
          <w:rFonts w:hint="eastAsia" w:ascii="黑体" w:hAnsi="黑体" w:eastAsia="黑体" w:cs="黑体"/>
          <w:kern w:val="2"/>
          <w:sz w:val="24"/>
          <w:szCs w:val="24"/>
          <w:highlight w:val="none"/>
          <w:lang w:val="en-US" w:eastAsia="zh-Hans"/>
        </w:rPr>
        <w:t>.</w:t>
      </w:r>
      <w:r>
        <w:rPr>
          <w:rFonts w:hint="default" w:ascii="黑体" w:hAnsi="黑体" w:eastAsia="黑体" w:cs="黑体"/>
          <w:kern w:val="2"/>
          <w:sz w:val="24"/>
          <w:szCs w:val="24"/>
          <w:highlight w:val="none"/>
          <w:lang w:eastAsia="zh-Hans"/>
        </w:rPr>
        <w:t>4</w:t>
      </w:r>
      <w:r>
        <w:rPr>
          <w:rFonts w:hint="eastAsia" w:ascii="黑体" w:hAnsi="黑体" w:eastAsia="黑体" w:cs="黑体"/>
          <w:kern w:val="2"/>
          <w:sz w:val="24"/>
          <w:szCs w:val="24"/>
          <w:highlight w:val="none"/>
          <w:lang w:val="en-US" w:eastAsia="zh-Hans"/>
        </w:rPr>
        <w:t>.</w:t>
      </w:r>
      <w:r>
        <w:rPr>
          <w:rFonts w:hint="default" w:ascii="黑体" w:hAnsi="黑体" w:eastAsia="黑体" w:cs="黑体"/>
          <w:kern w:val="2"/>
          <w:sz w:val="24"/>
          <w:szCs w:val="24"/>
          <w:highlight w:val="none"/>
          <w:lang w:eastAsia="zh-Hans"/>
        </w:rPr>
        <w:t>2</w:t>
      </w:r>
      <w:r>
        <w:rPr>
          <w:rFonts w:hint="eastAsia" w:ascii="黑体" w:hAnsi="黑体" w:eastAsia="黑体" w:cs="黑体"/>
          <w:kern w:val="2"/>
          <w:sz w:val="24"/>
          <w:szCs w:val="24"/>
          <w:highlight w:val="none"/>
          <w:lang w:val="en-US" w:eastAsia="zh-Hans"/>
        </w:rPr>
        <w:t>设备配置</w:t>
      </w:r>
      <w:r>
        <w:rPr>
          <w:rFonts w:hint="eastAsia" w:ascii="黑体" w:hAnsi="黑体" w:eastAsia="黑体" w:cs="黑体"/>
          <w:kern w:val="2"/>
          <w:sz w:val="24"/>
          <w:szCs w:val="24"/>
          <w:highlight w:val="none"/>
          <w:lang w:eastAsia="zh-CN"/>
        </w:rPr>
        <w:t>要求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kern w:val="2"/>
          <w:sz w:val="24"/>
          <w:szCs w:val="24"/>
          <w:highlight w:val="none"/>
          <w:lang w:val="en-US" w:eastAsia="zh-Hans"/>
        </w:rPr>
      </w:pPr>
      <w:r>
        <w:rPr>
          <w:rFonts w:hint="default" w:ascii="宋体" w:hAnsi="宋体" w:eastAsia="宋体" w:cs="宋体"/>
          <w:b/>
          <w:bCs/>
          <w:kern w:val="2"/>
          <w:sz w:val="24"/>
          <w:szCs w:val="24"/>
          <w:highlight w:val="none"/>
          <w:lang w:eastAsia="zh-Hans"/>
        </w:rPr>
        <w:t>1）</w:t>
      </w:r>
      <w:r>
        <w:rPr>
          <w:rFonts w:hint="eastAsia" w:ascii="宋体" w:hAnsi="宋体" w:eastAsia="宋体" w:cs="宋体"/>
          <w:b/>
          <w:bCs/>
          <w:kern w:val="2"/>
          <w:sz w:val="24"/>
          <w:szCs w:val="24"/>
          <w:highlight w:val="none"/>
          <w:lang w:val="en-US" w:eastAsia="zh-Hans"/>
        </w:rPr>
        <w:t>服务器基本配置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a）</w:t>
      </w:r>
      <w:r>
        <w:rPr>
          <w:rFonts w:hint="eastAsia" w:ascii="宋体" w:hAnsi="宋体" w:eastAsia="宋体" w:cs="宋体"/>
          <w:kern w:val="2"/>
          <w:sz w:val="24"/>
          <w:szCs w:val="24"/>
          <w:highlight w:val="none"/>
          <w:lang w:val="en-GB" w:eastAsia="zh-Hans"/>
        </w:rPr>
        <w:t>处理器：CPU</w:t>
      </w:r>
      <w:r>
        <w:rPr>
          <w:rFonts w:hint="default" w:ascii="宋体" w:hAnsi="宋体" w:eastAsia="宋体" w:cs="宋体"/>
          <w:kern w:val="2"/>
          <w:sz w:val="24"/>
          <w:szCs w:val="24"/>
          <w:highlight w:val="none"/>
          <w:lang w:val="en-GB" w:eastAsia="zh-Hans"/>
        </w:rPr>
        <w:t>*2、</w:t>
      </w:r>
      <w:r>
        <w:rPr>
          <w:rFonts w:hint="eastAsia" w:ascii="宋体" w:hAnsi="宋体" w:eastAsia="宋体" w:cs="宋体"/>
          <w:kern w:val="2"/>
          <w:sz w:val="24"/>
          <w:szCs w:val="24"/>
          <w:highlight w:val="none"/>
          <w:lang w:val="en-GB" w:eastAsia="zh-Hans"/>
        </w:rPr>
        <w:t>主频≮2.</w:t>
      </w:r>
      <w:r>
        <w:rPr>
          <w:rFonts w:hint="default" w:ascii="宋体" w:hAnsi="宋体" w:eastAsia="宋体" w:cs="宋体"/>
          <w:kern w:val="2"/>
          <w:sz w:val="24"/>
          <w:szCs w:val="24"/>
          <w:highlight w:val="none"/>
          <w:lang w:val="en-US" w:eastAsia="zh-Hans"/>
        </w:rPr>
        <w:t>1</w:t>
      </w:r>
      <w:r>
        <w:rPr>
          <w:rFonts w:hint="eastAsia" w:ascii="宋体" w:hAnsi="宋体" w:eastAsia="宋体" w:cs="宋体"/>
          <w:kern w:val="2"/>
          <w:sz w:val="24"/>
          <w:szCs w:val="24"/>
          <w:highlight w:val="none"/>
          <w:lang w:val="en-GB" w:eastAsia="zh-Hans"/>
        </w:rPr>
        <w:t>Ghz</w:t>
      </w:r>
      <w:r>
        <w:rPr>
          <w:rFonts w:hint="default" w:ascii="宋体" w:hAnsi="宋体" w:eastAsia="宋体" w:cs="宋体"/>
          <w:kern w:val="2"/>
          <w:sz w:val="24"/>
          <w:szCs w:val="24"/>
          <w:highlight w:val="none"/>
          <w:lang w:val="en-GB" w:eastAsia="zh-Hans"/>
        </w:rPr>
        <w:t>、</w:t>
      </w:r>
      <w:r>
        <w:rPr>
          <w:rFonts w:hint="eastAsia" w:ascii="宋体" w:hAnsi="宋体" w:eastAsia="宋体" w:cs="宋体"/>
          <w:kern w:val="2"/>
          <w:sz w:val="24"/>
          <w:szCs w:val="24"/>
          <w:highlight w:val="none"/>
          <w:lang w:val="en-US" w:eastAsia="zh-Hans"/>
        </w:rPr>
        <w:t>每个</w:t>
      </w:r>
      <w:r>
        <w:rPr>
          <w:rFonts w:hint="default" w:ascii="宋体" w:hAnsi="宋体" w:eastAsia="宋体" w:cs="宋体"/>
          <w:kern w:val="2"/>
          <w:sz w:val="24"/>
          <w:szCs w:val="24"/>
          <w:highlight w:val="none"/>
          <w:lang w:val="en-US" w:eastAsia="zh-Hans"/>
        </w:rPr>
        <w:t>CPU</w:t>
      </w:r>
      <w:r>
        <w:rPr>
          <w:rFonts w:hint="eastAsia" w:ascii="宋体" w:hAnsi="宋体" w:eastAsia="宋体" w:cs="宋体"/>
          <w:kern w:val="2"/>
          <w:sz w:val="24"/>
          <w:szCs w:val="24"/>
          <w:highlight w:val="none"/>
          <w:lang w:val="en-US" w:eastAsia="zh-Hans"/>
        </w:rPr>
        <w:t>核心数≮</w:t>
      </w:r>
      <w:r>
        <w:rPr>
          <w:rFonts w:hint="default" w:ascii="宋体" w:hAnsi="宋体" w:eastAsia="宋体" w:cs="宋体"/>
          <w:kern w:val="2"/>
          <w:sz w:val="24"/>
          <w:szCs w:val="24"/>
          <w:highlight w:val="none"/>
          <w:lang w:val="en-US" w:eastAsia="zh-Hans"/>
        </w:rPr>
        <w:t>16</w:t>
      </w:r>
      <w:r>
        <w:rPr>
          <w:rFonts w:hint="eastAsia" w:ascii="宋体" w:hAnsi="宋体" w:eastAsia="宋体" w:cs="宋体"/>
          <w:kern w:val="2"/>
          <w:sz w:val="24"/>
          <w:szCs w:val="24"/>
          <w:highlight w:val="none"/>
          <w:lang w:val="en-US" w:eastAsia="zh-Hans"/>
        </w:rPr>
        <w:t>核</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b）</w:t>
      </w:r>
      <w:r>
        <w:rPr>
          <w:rFonts w:hint="eastAsia" w:ascii="宋体" w:hAnsi="宋体" w:eastAsia="宋体" w:cs="宋体"/>
          <w:kern w:val="2"/>
          <w:sz w:val="24"/>
          <w:szCs w:val="24"/>
          <w:highlight w:val="none"/>
          <w:lang w:val="en-GB" w:eastAsia="zh-Hans"/>
        </w:rPr>
        <w:t>内存：≮64GB</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c）</w:t>
      </w:r>
      <w:r>
        <w:rPr>
          <w:rFonts w:hint="eastAsia" w:ascii="宋体" w:hAnsi="宋体" w:eastAsia="宋体" w:cs="宋体"/>
          <w:kern w:val="2"/>
          <w:sz w:val="24"/>
          <w:szCs w:val="24"/>
          <w:highlight w:val="none"/>
          <w:lang w:val="en-GB" w:eastAsia="zh-Hans"/>
        </w:rPr>
        <w:t>硬盘：240GB固态+</w:t>
      </w:r>
      <w:r>
        <w:rPr>
          <w:rFonts w:hint="default" w:ascii="宋体" w:hAnsi="宋体" w:eastAsia="宋体" w:cs="宋体"/>
          <w:kern w:val="2"/>
          <w:sz w:val="24"/>
          <w:szCs w:val="24"/>
          <w:highlight w:val="none"/>
          <w:lang w:val="en-US" w:eastAsia="zh-Hans"/>
        </w:rPr>
        <w:t>4</w:t>
      </w:r>
      <w:r>
        <w:rPr>
          <w:rFonts w:hint="eastAsia" w:ascii="宋体" w:hAnsi="宋体" w:eastAsia="宋体" w:cs="宋体"/>
          <w:kern w:val="2"/>
          <w:sz w:val="24"/>
          <w:szCs w:val="24"/>
          <w:highlight w:val="none"/>
          <w:lang w:val="en-GB" w:eastAsia="zh-Hans"/>
        </w:rPr>
        <w:t>TB机械</w:t>
      </w:r>
      <w:r>
        <w:rPr>
          <w:rFonts w:hint="default" w:ascii="宋体" w:hAnsi="宋体" w:eastAsia="宋体" w:cs="宋体"/>
          <w:kern w:val="2"/>
          <w:sz w:val="24"/>
          <w:szCs w:val="24"/>
          <w:highlight w:val="none"/>
          <w:lang w:val="en-US" w:eastAsia="zh-Hans"/>
        </w:rPr>
        <w:t>*4</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d</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支持Raid</w:t>
      </w:r>
      <w:r>
        <w:rPr>
          <w:rFonts w:hint="default" w:ascii="宋体" w:hAnsi="宋体" w:eastAsia="宋体" w:cs="宋体"/>
          <w:kern w:val="2"/>
          <w:sz w:val="24"/>
          <w:szCs w:val="24"/>
          <w:highlight w:val="none"/>
          <w:lang w:val="en-US" w:eastAsia="zh-Hans"/>
        </w:rPr>
        <w:t>0/1//5</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e）</w:t>
      </w:r>
      <w:r>
        <w:rPr>
          <w:rFonts w:hint="eastAsia" w:ascii="宋体" w:hAnsi="宋体" w:eastAsia="宋体" w:cs="宋体"/>
          <w:kern w:val="2"/>
          <w:sz w:val="24"/>
          <w:szCs w:val="24"/>
          <w:highlight w:val="none"/>
          <w:lang w:val="en-GB" w:eastAsia="zh-Hans"/>
        </w:rPr>
        <w:t>电源配置不低于550W电源模块*2</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f）</w:t>
      </w:r>
      <w:r>
        <w:rPr>
          <w:rFonts w:hint="eastAsia" w:ascii="宋体" w:hAnsi="宋体" w:eastAsia="宋体" w:cs="宋体"/>
          <w:kern w:val="2"/>
          <w:sz w:val="24"/>
          <w:szCs w:val="24"/>
          <w:highlight w:val="none"/>
          <w:lang w:val="en-GB" w:eastAsia="zh-Hans"/>
        </w:rPr>
        <w:t>提供正版国产操作系统和数据库</w:t>
      </w:r>
      <w:r>
        <w:rPr>
          <w:rFonts w:hint="eastAsia" w:ascii="宋体" w:hAnsi="宋体" w:eastAsia="宋体" w:cs="宋体"/>
          <w:kern w:val="2"/>
          <w:sz w:val="24"/>
          <w:szCs w:val="24"/>
          <w:highlight w:val="none"/>
          <w:lang w:val="en-US" w:eastAsia="zh-Hans"/>
        </w:rPr>
        <w:t>软件</w:t>
      </w:r>
      <w:r>
        <w:rPr>
          <w:rFonts w:hint="default" w:ascii="宋体" w:hAnsi="宋体" w:eastAsia="宋体" w:cs="宋体"/>
          <w:kern w:val="2"/>
          <w:sz w:val="24"/>
          <w:szCs w:val="24"/>
          <w:highlight w:val="none"/>
          <w:lang w:val="en-US"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kern w:val="2"/>
          <w:sz w:val="24"/>
          <w:szCs w:val="24"/>
          <w:highlight w:val="none"/>
          <w:lang w:val="en-US" w:eastAsia="zh-Hans"/>
        </w:rPr>
      </w:pPr>
      <w:r>
        <w:rPr>
          <w:rFonts w:hint="default" w:ascii="宋体" w:hAnsi="宋体" w:eastAsia="宋体" w:cs="宋体"/>
          <w:b/>
          <w:bCs/>
          <w:kern w:val="2"/>
          <w:sz w:val="24"/>
          <w:szCs w:val="24"/>
          <w:highlight w:val="none"/>
          <w:lang w:eastAsia="zh-Hans"/>
        </w:rPr>
        <w:t>2）</w:t>
      </w:r>
      <w:r>
        <w:rPr>
          <w:rFonts w:hint="eastAsia" w:ascii="宋体" w:hAnsi="宋体" w:eastAsia="宋体" w:cs="宋体"/>
          <w:b/>
          <w:bCs/>
          <w:kern w:val="2"/>
          <w:sz w:val="24"/>
          <w:szCs w:val="24"/>
          <w:highlight w:val="none"/>
          <w:lang w:val="en-US" w:eastAsia="zh-Hans"/>
        </w:rPr>
        <w:t>性能要求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a）并发访问数不小于</w:t>
      </w:r>
      <w:r>
        <w:rPr>
          <w:rFonts w:hint="default" w:ascii="宋体" w:hAnsi="宋体" w:eastAsia="宋体" w:cs="宋体"/>
          <w:kern w:val="2"/>
          <w:sz w:val="24"/>
          <w:szCs w:val="24"/>
          <w:highlight w:val="none"/>
          <w:lang w:val="en-US" w:eastAsia="zh-Hans"/>
        </w:rPr>
        <w:t>5</w:t>
      </w:r>
      <w:r>
        <w:rPr>
          <w:rFonts w:hint="eastAsia" w:ascii="宋体" w:hAnsi="宋体" w:eastAsia="宋体" w:cs="宋体"/>
          <w:kern w:val="2"/>
          <w:sz w:val="24"/>
          <w:szCs w:val="24"/>
          <w:highlight w:val="none"/>
          <w:lang w:val="en-US" w:eastAsia="zh-Hans"/>
        </w:rPr>
        <w:t>0人</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b）支持不低于2G大小的文件上传。</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bCs/>
          <w:kern w:val="0"/>
          <w:sz w:val="24"/>
          <w:szCs w:val="24"/>
          <w:highlight w:val="none"/>
          <w:lang w:eastAsia="zh-Hans"/>
        </w:rPr>
      </w:pPr>
      <w:r>
        <w:rPr>
          <w:rFonts w:hint="eastAsia" w:ascii="宋体" w:hAnsi="宋体" w:eastAsia="宋体" w:cs="宋体"/>
          <w:kern w:val="2"/>
          <w:sz w:val="24"/>
          <w:szCs w:val="24"/>
          <w:highlight w:val="none"/>
          <w:lang w:val="en-US" w:eastAsia="zh-Hans"/>
        </w:rPr>
        <w:t>c）</w:t>
      </w:r>
      <w:r>
        <w:rPr>
          <w:rFonts w:hint="eastAsia" w:ascii="宋体" w:hAnsi="宋体" w:eastAsia="宋体" w:cs="宋体"/>
          <w:bCs/>
          <w:kern w:val="0"/>
          <w:sz w:val="24"/>
          <w:szCs w:val="24"/>
          <w:highlight w:val="none"/>
          <w:lang w:val="en-US" w:eastAsia="zh-Hans"/>
        </w:rPr>
        <w:t>具备与软件需求</w:t>
      </w:r>
      <w:r>
        <w:rPr>
          <w:rFonts w:hint="default" w:ascii="宋体" w:hAnsi="宋体" w:eastAsia="宋体" w:cs="宋体"/>
          <w:bCs/>
          <w:kern w:val="0"/>
          <w:sz w:val="24"/>
          <w:szCs w:val="24"/>
          <w:highlight w:val="none"/>
          <w:lang w:eastAsia="zh-Hans"/>
        </w:rPr>
        <w:t>、</w:t>
      </w:r>
      <w:r>
        <w:rPr>
          <w:rFonts w:hint="eastAsia" w:ascii="宋体" w:hAnsi="宋体" w:eastAsia="宋体" w:cs="宋体"/>
          <w:bCs/>
          <w:kern w:val="0"/>
          <w:sz w:val="24"/>
          <w:szCs w:val="24"/>
          <w:highlight w:val="none"/>
          <w:lang w:val="en-US" w:eastAsia="zh-Hans"/>
        </w:rPr>
        <w:t>设计</w:t>
      </w:r>
      <w:r>
        <w:rPr>
          <w:rFonts w:hint="default" w:ascii="宋体" w:hAnsi="宋体" w:eastAsia="宋体" w:cs="宋体"/>
          <w:bCs/>
          <w:kern w:val="0"/>
          <w:sz w:val="24"/>
          <w:szCs w:val="24"/>
          <w:highlight w:val="none"/>
          <w:lang w:eastAsia="zh-Hans"/>
        </w:rPr>
        <w:t>、</w:t>
      </w:r>
      <w:r>
        <w:rPr>
          <w:rFonts w:hint="eastAsia" w:ascii="宋体" w:hAnsi="宋体" w:eastAsia="宋体" w:cs="宋体"/>
          <w:bCs/>
          <w:kern w:val="0"/>
          <w:sz w:val="24"/>
          <w:szCs w:val="24"/>
          <w:highlight w:val="none"/>
          <w:lang w:val="en-US" w:eastAsia="zh-Hans"/>
        </w:rPr>
        <w:t>编码</w:t>
      </w:r>
      <w:r>
        <w:rPr>
          <w:rFonts w:hint="default" w:ascii="宋体" w:hAnsi="宋体" w:eastAsia="宋体" w:cs="宋体"/>
          <w:bCs/>
          <w:kern w:val="0"/>
          <w:sz w:val="24"/>
          <w:szCs w:val="24"/>
          <w:highlight w:val="none"/>
          <w:lang w:eastAsia="zh-Hans"/>
        </w:rPr>
        <w:t>、</w:t>
      </w:r>
      <w:r>
        <w:rPr>
          <w:rFonts w:hint="eastAsia" w:ascii="宋体" w:hAnsi="宋体" w:eastAsia="宋体" w:cs="宋体"/>
          <w:bCs/>
          <w:kern w:val="0"/>
          <w:sz w:val="24"/>
          <w:szCs w:val="24"/>
          <w:highlight w:val="none"/>
          <w:lang w:val="en-US" w:eastAsia="zh-Hans"/>
        </w:rPr>
        <w:t>测试等专业工具接口的能力</w:t>
      </w:r>
      <w:r>
        <w:rPr>
          <w:rFonts w:hint="default" w:ascii="宋体" w:hAnsi="宋体" w:eastAsia="宋体" w:cs="宋体"/>
          <w:bCs/>
          <w:kern w:val="0"/>
          <w:sz w:val="24"/>
          <w:szCs w:val="24"/>
          <w:highlight w:val="none"/>
          <w:lang w:eastAsia="zh-Hans"/>
        </w:rPr>
        <w:t>，</w:t>
      </w:r>
      <w:r>
        <w:rPr>
          <w:rFonts w:hint="eastAsia" w:ascii="宋体" w:hAnsi="宋体" w:eastAsia="宋体" w:cs="宋体"/>
          <w:b/>
          <w:bCs w:val="0"/>
          <w:kern w:val="0"/>
          <w:sz w:val="24"/>
          <w:szCs w:val="24"/>
          <w:highlight w:val="none"/>
          <w:lang w:val="en-US" w:eastAsia="zh-Hans"/>
        </w:rPr>
        <w:t>提供可行性设计方案</w:t>
      </w:r>
      <w:r>
        <w:rPr>
          <w:rFonts w:hint="default" w:ascii="宋体" w:hAnsi="宋体" w:eastAsia="宋体" w:cs="宋体"/>
          <w:bCs/>
          <w:kern w:val="0"/>
          <w:sz w:val="24"/>
          <w:szCs w:val="24"/>
          <w:highlight w:val="none"/>
          <w:lang w:eastAsia="zh-Hans"/>
        </w:rPr>
        <w:t>。</w:t>
      </w:r>
    </w:p>
    <w:p>
      <w:pPr>
        <w:widowControl/>
        <w:spacing w:after="0" w:line="360" w:lineRule="auto"/>
        <w:textAlignment w:val="baseline"/>
        <w:rPr>
          <w:rFonts w:hint="eastAsia" w:ascii="黑体" w:hAnsi="黑体" w:eastAsia="黑体" w:cs="黑体"/>
          <w:kern w:val="2"/>
          <w:sz w:val="24"/>
          <w:szCs w:val="24"/>
          <w:highlight w:val="none"/>
          <w:lang w:val="en-US" w:eastAsia="zh-Hans"/>
        </w:rPr>
      </w:pPr>
      <w:r>
        <w:rPr>
          <w:rFonts w:hint="default" w:ascii="黑体" w:hAnsi="黑体" w:eastAsia="黑体" w:cs="黑体"/>
          <w:kern w:val="2"/>
          <w:sz w:val="24"/>
          <w:szCs w:val="24"/>
          <w:highlight w:val="none"/>
          <w:lang w:eastAsia="zh-CN"/>
        </w:rPr>
        <w:t>2</w:t>
      </w:r>
      <w:r>
        <w:rPr>
          <w:rFonts w:hint="eastAsia" w:ascii="黑体" w:hAnsi="黑体" w:eastAsia="黑体" w:cs="黑体"/>
          <w:kern w:val="2"/>
          <w:sz w:val="24"/>
          <w:szCs w:val="24"/>
          <w:highlight w:val="none"/>
          <w:lang w:val="en-US" w:eastAsia="zh-Hans"/>
        </w:rPr>
        <w:t>.</w:t>
      </w:r>
      <w:r>
        <w:rPr>
          <w:rFonts w:hint="default" w:ascii="黑体" w:hAnsi="黑体" w:eastAsia="黑体" w:cs="黑体"/>
          <w:kern w:val="2"/>
          <w:sz w:val="24"/>
          <w:szCs w:val="24"/>
          <w:highlight w:val="none"/>
          <w:lang w:eastAsia="zh-Hans"/>
        </w:rPr>
        <w:t>4</w:t>
      </w:r>
      <w:r>
        <w:rPr>
          <w:rFonts w:hint="eastAsia" w:ascii="黑体" w:hAnsi="黑体" w:eastAsia="黑体" w:cs="黑体"/>
          <w:kern w:val="2"/>
          <w:sz w:val="24"/>
          <w:szCs w:val="24"/>
          <w:highlight w:val="none"/>
          <w:lang w:val="en-US" w:eastAsia="zh-Hans"/>
        </w:rPr>
        <w:t>.</w:t>
      </w:r>
      <w:r>
        <w:rPr>
          <w:rFonts w:hint="default" w:ascii="黑体" w:hAnsi="黑体" w:eastAsia="黑体" w:cs="黑体"/>
          <w:kern w:val="2"/>
          <w:sz w:val="24"/>
          <w:szCs w:val="24"/>
          <w:highlight w:val="none"/>
          <w:lang w:eastAsia="zh-Hans"/>
        </w:rPr>
        <w:t xml:space="preserve">3 </w:t>
      </w:r>
      <w:r>
        <w:rPr>
          <w:rFonts w:hint="eastAsia" w:ascii="黑体" w:hAnsi="黑体" w:eastAsia="黑体" w:cs="黑体"/>
          <w:kern w:val="2"/>
          <w:sz w:val="24"/>
          <w:szCs w:val="24"/>
          <w:highlight w:val="none"/>
          <w:lang w:val="en-US" w:eastAsia="zh-Hans"/>
        </w:rPr>
        <w:t>GJB 5000B合规性功能要求</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kern w:val="2"/>
          <w:sz w:val="24"/>
          <w:szCs w:val="24"/>
          <w:highlight w:val="none"/>
          <w:lang w:val="en-US" w:eastAsia="zh-Hans"/>
        </w:rPr>
      </w:pPr>
      <w:r>
        <w:rPr>
          <w:rFonts w:hint="default" w:ascii="宋体" w:hAnsi="宋体" w:eastAsia="宋体" w:cs="宋体"/>
          <w:b/>
          <w:bCs/>
          <w:kern w:val="2"/>
          <w:sz w:val="24"/>
          <w:szCs w:val="24"/>
          <w:highlight w:val="none"/>
          <w:lang w:eastAsia="zh-Hans"/>
        </w:rPr>
        <w:t>1）</w:t>
      </w:r>
      <w:r>
        <w:rPr>
          <w:rFonts w:hint="eastAsia" w:ascii="宋体" w:hAnsi="宋体" w:eastAsia="宋体" w:cs="宋体"/>
          <w:b/>
          <w:bCs/>
          <w:kern w:val="2"/>
          <w:sz w:val="24"/>
          <w:szCs w:val="24"/>
          <w:highlight w:val="none"/>
          <w:lang w:val="en-US" w:eastAsia="zh-Hans"/>
        </w:rPr>
        <w:t>领导作用</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default" w:ascii="宋体" w:hAnsi="宋体" w:eastAsia="宋体" w:cs="宋体"/>
          <w:kern w:val="2"/>
          <w:sz w:val="24"/>
          <w:szCs w:val="24"/>
          <w:highlight w:val="none"/>
          <w:lang w:eastAsia="zh-Hans"/>
        </w:rPr>
        <w:t xml:space="preserve">a) </w:t>
      </w:r>
      <w:r>
        <w:rPr>
          <w:rFonts w:hint="eastAsia" w:ascii="宋体" w:hAnsi="宋体" w:eastAsia="宋体" w:cs="宋体"/>
          <w:kern w:val="2"/>
          <w:sz w:val="24"/>
          <w:szCs w:val="24"/>
          <w:highlight w:val="none"/>
          <w:lang w:val="en-US" w:eastAsia="zh-Hans"/>
        </w:rPr>
        <w:t>支持</w:t>
      </w:r>
      <w:r>
        <w:rPr>
          <w:rFonts w:hint="eastAsia" w:ascii="宋体" w:hAnsi="宋体" w:eastAsia="宋体" w:cs="宋体"/>
          <w:kern w:val="2"/>
          <w:sz w:val="24"/>
          <w:szCs w:val="24"/>
          <w:highlight w:val="none"/>
          <w:lang w:eastAsia="zh-Hans"/>
        </w:rPr>
        <w:t>组织级方针和目标</w:t>
      </w:r>
      <w:r>
        <w:rPr>
          <w:rFonts w:hint="eastAsia" w:ascii="宋体" w:hAnsi="宋体" w:eastAsia="宋体" w:cs="宋体"/>
          <w:kern w:val="2"/>
          <w:sz w:val="24"/>
          <w:szCs w:val="24"/>
          <w:highlight w:val="none"/>
          <w:lang w:val="en-US" w:eastAsia="zh-Hans"/>
        </w:rPr>
        <w:t>的发布及管理</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default" w:ascii="宋体" w:hAnsi="宋体" w:eastAsia="宋体" w:cs="宋体"/>
          <w:kern w:val="2"/>
          <w:sz w:val="24"/>
          <w:szCs w:val="24"/>
          <w:highlight w:val="none"/>
          <w:lang w:eastAsia="zh-Hans"/>
        </w:rPr>
        <w:t xml:space="preserve">b) </w:t>
      </w:r>
      <w:r>
        <w:rPr>
          <w:rFonts w:hint="eastAsia" w:ascii="宋体" w:hAnsi="宋体" w:eastAsia="宋体" w:cs="宋体"/>
          <w:kern w:val="2"/>
          <w:sz w:val="24"/>
          <w:szCs w:val="24"/>
          <w:highlight w:val="none"/>
          <w:lang w:val="en-US" w:eastAsia="zh-Hans"/>
        </w:rPr>
        <w:t>支持业务</w:t>
      </w:r>
      <w:r>
        <w:rPr>
          <w:rFonts w:hint="eastAsia" w:ascii="宋体" w:hAnsi="宋体" w:eastAsia="宋体" w:cs="宋体"/>
          <w:kern w:val="2"/>
          <w:sz w:val="24"/>
          <w:szCs w:val="24"/>
          <w:highlight w:val="none"/>
          <w:lang w:eastAsia="zh-Hans"/>
        </w:rPr>
        <w:t>目标</w:t>
      </w:r>
      <w:r>
        <w:rPr>
          <w:rFonts w:hint="eastAsia" w:ascii="宋体" w:hAnsi="宋体" w:eastAsia="宋体" w:cs="宋体"/>
          <w:kern w:val="2"/>
          <w:sz w:val="24"/>
          <w:szCs w:val="24"/>
          <w:highlight w:val="none"/>
          <w:lang w:val="en-US" w:eastAsia="zh-Hans"/>
        </w:rPr>
        <w:t>的发布及管理</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kern w:val="2"/>
          <w:sz w:val="24"/>
          <w:szCs w:val="24"/>
          <w:highlight w:val="none"/>
          <w:lang w:val="en-US" w:eastAsia="zh-Hans"/>
        </w:rPr>
      </w:pPr>
      <w:r>
        <w:rPr>
          <w:rFonts w:hint="default" w:ascii="宋体" w:hAnsi="宋体" w:eastAsia="宋体" w:cs="宋体"/>
          <w:b/>
          <w:bCs/>
          <w:kern w:val="2"/>
          <w:sz w:val="24"/>
          <w:szCs w:val="24"/>
          <w:highlight w:val="none"/>
          <w:lang w:eastAsia="zh-Hans"/>
        </w:rPr>
        <w:t>2）</w:t>
      </w:r>
      <w:r>
        <w:rPr>
          <w:rFonts w:hint="eastAsia" w:ascii="宋体" w:hAnsi="宋体" w:eastAsia="宋体" w:cs="宋体"/>
          <w:b/>
          <w:bCs/>
          <w:kern w:val="2"/>
          <w:sz w:val="24"/>
          <w:szCs w:val="24"/>
          <w:highlight w:val="none"/>
          <w:lang w:val="en-US" w:eastAsia="zh-Hans"/>
        </w:rPr>
        <w:t>实施基础</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zh-CN" w:eastAsia="zh-CN"/>
        </w:rPr>
        <w:t>a)支持建立、维护和跟踪过程实施策划、资源保障计划</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Hans"/>
        </w:rPr>
        <w:t>b）</w:t>
      </w:r>
      <w:r>
        <w:rPr>
          <w:rFonts w:hint="eastAsia" w:ascii="宋体" w:hAnsi="宋体" w:eastAsia="宋体" w:cs="宋体"/>
          <w:color w:val="000000"/>
          <w:kern w:val="0"/>
          <w:sz w:val="24"/>
          <w:szCs w:val="24"/>
          <w:highlight w:val="none"/>
          <w:lang w:val="zh-CN"/>
        </w:rPr>
        <w:t>可进行体系标准的管理</w:t>
      </w:r>
      <w:r>
        <w:rPr>
          <w:rFonts w:hint="default" w:ascii="宋体" w:hAnsi="宋体" w:eastAsia="宋体" w:cs="宋体"/>
          <w:color w:val="000000"/>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color w:val="000000"/>
          <w:kern w:val="0"/>
          <w:sz w:val="24"/>
          <w:szCs w:val="24"/>
          <w:highlight w:val="none"/>
          <w:lang w:eastAsia="zh-Hans"/>
        </w:rPr>
      </w:pPr>
      <w:r>
        <w:rPr>
          <w:rFonts w:hint="eastAsia" w:ascii="宋体" w:hAnsi="宋体" w:eastAsia="宋体" w:cs="宋体"/>
          <w:color w:val="000000"/>
          <w:kern w:val="0"/>
          <w:sz w:val="24"/>
          <w:szCs w:val="24"/>
          <w:highlight w:val="none"/>
          <w:lang w:val="en-US" w:eastAsia="zh-Hans"/>
        </w:rPr>
        <w:t>c）可提供各类组织及资产</w:t>
      </w:r>
      <w:r>
        <w:rPr>
          <w:rFonts w:hint="default" w:ascii="宋体" w:hAnsi="宋体" w:eastAsia="宋体" w:cs="宋体"/>
          <w:color w:val="000000"/>
          <w:kern w:val="0"/>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d）支持内外部评价记录的管理</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kern w:val="2"/>
          <w:sz w:val="24"/>
          <w:szCs w:val="24"/>
          <w:highlight w:val="none"/>
          <w:lang w:val="en-US" w:eastAsia="zh-CN"/>
        </w:rPr>
      </w:pPr>
      <w:r>
        <w:rPr>
          <w:rFonts w:hint="eastAsia" w:hAnsi="宋体" w:cs="宋体"/>
          <w:b/>
          <w:bCs/>
          <w:kern w:val="2"/>
          <w:sz w:val="24"/>
          <w:szCs w:val="24"/>
          <w:highlight w:val="none"/>
          <w:lang w:val="en-US" w:eastAsia="zh-CN"/>
        </w:rPr>
        <w:t>3</w:t>
      </w:r>
      <w:r>
        <w:rPr>
          <w:rFonts w:hint="default" w:ascii="宋体" w:hAnsi="宋体" w:eastAsia="宋体" w:cs="宋体"/>
          <w:b/>
          <w:bCs/>
          <w:kern w:val="2"/>
          <w:sz w:val="24"/>
          <w:szCs w:val="24"/>
          <w:highlight w:val="none"/>
          <w:lang w:eastAsia="zh-Hans"/>
        </w:rPr>
        <w:t>）</w:t>
      </w:r>
      <w:r>
        <w:rPr>
          <w:rFonts w:hint="eastAsia" w:ascii="宋体" w:hAnsi="宋体" w:eastAsia="宋体" w:cs="宋体"/>
          <w:b/>
          <w:bCs/>
          <w:kern w:val="2"/>
          <w:sz w:val="24"/>
          <w:szCs w:val="24"/>
          <w:highlight w:val="none"/>
          <w:lang w:val="en-US" w:eastAsia="zh-CN"/>
        </w:rPr>
        <w:t>立项论证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Hans"/>
        </w:rPr>
        <w:t>a</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支持项目立项与创建，可设置、修改项目基本信息，如项目名称、项目代号、关键等级、软件规模、软件负责人等</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Hans"/>
        </w:rPr>
        <w:t>b</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支持论证结论确认</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Hans"/>
        </w:rPr>
        <w:t>c</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支持对研制总要求的跟踪与维护</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kern w:val="2"/>
          <w:sz w:val="24"/>
          <w:szCs w:val="24"/>
          <w:highlight w:val="none"/>
          <w:lang w:val="en-US" w:eastAsia="zh-Hans"/>
        </w:rPr>
      </w:pPr>
      <w:r>
        <w:rPr>
          <w:rFonts w:hint="eastAsia" w:hAnsi="宋体" w:cs="宋体"/>
          <w:b/>
          <w:bCs/>
          <w:kern w:val="2"/>
          <w:sz w:val="24"/>
          <w:szCs w:val="24"/>
          <w:highlight w:val="none"/>
          <w:lang w:val="en-US" w:eastAsia="zh-CN"/>
        </w:rPr>
        <w:t>4</w:t>
      </w:r>
      <w:r>
        <w:rPr>
          <w:rFonts w:hint="default" w:ascii="宋体" w:hAnsi="宋体" w:eastAsia="宋体" w:cs="宋体"/>
          <w:b/>
          <w:bCs/>
          <w:kern w:val="2"/>
          <w:sz w:val="24"/>
          <w:szCs w:val="24"/>
          <w:highlight w:val="none"/>
          <w:lang w:eastAsia="zh-Hans"/>
        </w:rPr>
        <w:t>）</w:t>
      </w:r>
      <w:r>
        <w:rPr>
          <w:rFonts w:hint="eastAsia" w:ascii="宋体" w:hAnsi="宋体" w:eastAsia="宋体" w:cs="宋体"/>
          <w:b/>
          <w:bCs/>
          <w:kern w:val="2"/>
          <w:sz w:val="24"/>
          <w:szCs w:val="24"/>
          <w:highlight w:val="none"/>
          <w:lang w:val="en-US" w:eastAsia="zh-Hans"/>
        </w:rPr>
        <w:t>项目策划</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Hans"/>
        </w:rPr>
        <w:t>a</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zh-CN" w:eastAsia="zh-CN"/>
        </w:rPr>
        <w:t>可进行软件功能分解</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Hans"/>
        </w:rPr>
        <w:t>b</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zh-CN" w:eastAsia="zh-CN"/>
        </w:rPr>
        <w:t>可将软件功能分解和生命周期活动进行组合，生成项目的初始WBS</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Hans"/>
        </w:rPr>
        <w:t>c</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zh-CN" w:eastAsia="zh-CN"/>
        </w:rPr>
        <w:t>可实现规模、工作量、成本、资源的估算</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Hans"/>
        </w:rPr>
        <w:t>d</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zh-CN" w:eastAsia="zh-CN"/>
        </w:rPr>
        <w:t>可基于生命周期模型建立计划任务，并进行计划任务的发布</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Hans"/>
        </w:rPr>
        <w:t>e</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zh-CN" w:eastAsia="zh-CN"/>
        </w:rPr>
        <w:t>可基于估算结果进行任务进度安排</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val="en-US" w:eastAsia="zh-Hans"/>
        </w:rPr>
        <w:t>f</w:t>
      </w:r>
      <w:r>
        <w:rPr>
          <w:rFonts w:hint="default"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zh-CN" w:eastAsia="zh-CN"/>
        </w:rPr>
        <w:t>可以用列表、甘特图方式显示项目计划</w:t>
      </w:r>
      <w:r>
        <w:rPr>
          <w:rFonts w:hint="default" w:ascii="宋体" w:hAnsi="宋体" w:eastAsia="宋体" w:cs="宋体"/>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g</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可以按照人员工作量、工作类型、项目进度趋势统计项目任务。</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kern w:val="2"/>
          <w:sz w:val="24"/>
          <w:szCs w:val="24"/>
          <w:highlight w:val="none"/>
          <w:lang w:val="en-US" w:eastAsia="zh-Hans"/>
        </w:rPr>
      </w:pPr>
      <w:r>
        <w:rPr>
          <w:rFonts w:hint="eastAsia" w:hAnsi="宋体" w:cs="宋体"/>
          <w:b/>
          <w:bCs/>
          <w:kern w:val="2"/>
          <w:sz w:val="24"/>
          <w:szCs w:val="24"/>
          <w:highlight w:val="none"/>
          <w:lang w:val="en-US" w:eastAsia="zh-CN"/>
        </w:rPr>
        <w:t>5</w:t>
      </w:r>
      <w:r>
        <w:rPr>
          <w:rFonts w:hint="default" w:ascii="宋体" w:hAnsi="宋体" w:eastAsia="宋体" w:cs="宋体"/>
          <w:b/>
          <w:bCs/>
          <w:kern w:val="2"/>
          <w:sz w:val="24"/>
          <w:szCs w:val="24"/>
          <w:highlight w:val="none"/>
          <w:lang w:eastAsia="zh-Hans"/>
        </w:rPr>
        <w:t>）</w:t>
      </w:r>
      <w:r>
        <w:rPr>
          <w:rFonts w:hint="eastAsia" w:ascii="宋体" w:hAnsi="宋体" w:eastAsia="宋体" w:cs="宋体"/>
          <w:b/>
          <w:bCs/>
          <w:kern w:val="2"/>
          <w:sz w:val="24"/>
          <w:szCs w:val="24"/>
          <w:highlight w:val="none"/>
          <w:lang w:val="en-US" w:eastAsia="zh-Hans"/>
        </w:rPr>
        <w:t>项目监控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a</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可以在工具平台中展示项目进度、规模、工作量、风险、产品质量、过程质量、评审、需求状态、配置管理状态、测试情况、变更情况纪实数据。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b</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以在项目报告中集中展示项目进度、规模、工作量、风险、资源、产品质量、过程质量、评审、需求状态、配置管理状态、测试情况、变更情况纪实数据；工具平台提供下列项目报告：项目周报、阶段性报告、里程碑报告、QA周报、QA审核报告、配置审核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c</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以在测量分析中集中展示项目进度、规模、工作量、产品质量、过程质量、评审、需求状态、测试情况、变更情况纪实数据,包括：里程碑进度偏差、各阶段工作量偏差、各类型任务工作量、成本/进度性能、需求变更率、评审缺陷密度、测试缺陷密度、项目平均生产率、各工作产品规模偏差、NC所属过程分布、NC所属产品分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d</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可分配任务给单个或多个执行人。</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e</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可进行任务的拆分以及拆分后子任务的分配。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f</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可填写任务执行情况。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g</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可自动生成任务日志。</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h</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任务干系人（包括任务发布者、任务关注人或项目负责人）可随时跟踪、查看任务完成情况。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i</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可以指定审核人对任务进行审核。</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j</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能够按流程化操作指导任务执行人员开展具体工作。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k</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可自动读取平台数据，生成项目报告，包括：项目周报、阶段性报告、里程碑报告、QA周报、QA审核报告、配置审核报告。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bookmarkStart w:id="91" w:name="_Toc456708781"/>
      <w:bookmarkStart w:id="92" w:name="_Toc456703632"/>
      <w:r>
        <w:rPr>
          <w:rFonts w:hint="eastAsia" w:ascii="宋体" w:hAnsi="宋体" w:eastAsia="宋体" w:cs="宋体"/>
          <w:kern w:val="2"/>
          <w:sz w:val="24"/>
          <w:szCs w:val="24"/>
          <w:highlight w:val="none"/>
          <w:lang w:val="en-US" w:eastAsia="zh-Hans"/>
        </w:rPr>
        <w:t>l</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可执行风险管理</w:t>
      </w:r>
      <w:bookmarkEnd w:id="91"/>
      <w:bookmarkEnd w:id="92"/>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m</w:t>
      </w:r>
      <w:r>
        <w:rPr>
          <w:rFonts w:hint="default" w:ascii="宋体" w:hAnsi="宋体" w:eastAsia="宋体" w:cs="宋体"/>
          <w:kern w:val="2"/>
          <w:sz w:val="24"/>
          <w:szCs w:val="24"/>
          <w:highlight w:val="none"/>
          <w:lang w:eastAsia="zh-Hans"/>
        </w:rPr>
        <w:t>）</w:t>
      </w:r>
      <w:bookmarkStart w:id="93" w:name="_Toc456708807"/>
      <w:bookmarkStart w:id="94" w:name="_Toc456703634"/>
      <w:r>
        <w:rPr>
          <w:rFonts w:hint="eastAsia" w:ascii="宋体" w:hAnsi="宋体" w:eastAsia="宋体" w:cs="宋体"/>
          <w:kern w:val="2"/>
          <w:sz w:val="24"/>
          <w:szCs w:val="24"/>
          <w:highlight w:val="none"/>
          <w:lang w:val="en-US" w:eastAsia="zh-Hans"/>
        </w:rPr>
        <w:t>可执行问题管理</w:t>
      </w:r>
      <w:bookmarkEnd w:id="93"/>
      <w:bookmarkEnd w:id="94"/>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hAnsi="宋体" w:cs="宋体"/>
          <w:color w:val="000000"/>
          <w:kern w:val="0"/>
          <w:sz w:val="24"/>
          <w:szCs w:val="24"/>
          <w:highlight w:val="none"/>
          <w:lang w:val="en-US" w:eastAsia="zh-CN"/>
        </w:rPr>
        <w:t>6</w:t>
      </w:r>
      <w:r>
        <w:rPr>
          <w:rFonts w:hint="default" w:ascii="宋体" w:hAnsi="宋体" w:eastAsia="宋体" w:cs="宋体"/>
          <w:color w:val="000000"/>
          <w:kern w:val="0"/>
          <w:sz w:val="24"/>
          <w:szCs w:val="24"/>
          <w:highlight w:val="none"/>
        </w:rPr>
        <w:t>）</w:t>
      </w:r>
      <w:r>
        <w:rPr>
          <w:rFonts w:hint="eastAsia" w:ascii="宋体" w:hAnsi="宋体" w:eastAsia="宋体" w:cs="宋体"/>
          <w:b/>
          <w:bCs/>
          <w:kern w:val="0"/>
          <w:sz w:val="24"/>
          <w:szCs w:val="24"/>
          <w:highlight w:val="none"/>
          <w:lang w:val="zh-CN"/>
        </w:rPr>
        <w:t>外部供方管理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a</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可在项目生存周期模型中，依据外包项目管理过程，确定外包项目管理的任务项</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b</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可生成外包项目对应的WBS</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c</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支持外包项目任务的策划、跟踪和监督。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d</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支持制定外包管理计划</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e</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可跟踪、监控计划的执行。</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f</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提供供方过程及产品评价报告</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可在报告中提供或标识项目进度、质量、配置管理状态信息。</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000000"/>
          <w:kern w:val="0"/>
          <w:sz w:val="24"/>
          <w:szCs w:val="24"/>
          <w:highlight w:val="none"/>
          <w:lang w:val="en-US" w:eastAsia="zh-CN"/>
        </w:rPr>
      </w:pPr>
      <w:r>
        <w:rPr>
          <w:rFonts w:hint="eastAsia" w:hAnsi="宋体" w:cs="宋体"/>
          <w:b/>
          <w:bCs/>
          <w:color w:val="000000"/>
          <w:kern w:val="0"/>
          <w:sz w:val="24"/>
          <w:szCs w:val="24"/>
          <w:highlight w:val="none"/>
          <w:lang w:val="en-US" w:eastAsia="zh-CN"/>
        </w:rPr>
        <w:t>7</w:t>
      </w:r>
      <w:r>
        <w:rPr>
          <w:rFonts w:hint="default"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val="zh-CN"/>
        </w:rPr>
        <w:t>需求开发与管</w:t>
      </w:r>
      <w:r>
        <w:rPr>
          <w:rFonts w:hint="eastAsia" w:hAnsi="宋体" w:cs="宋体"/>
          <w:b/>
          <w:bCs/>
          <w:color w:val="000000"/>
          <w:kern w:val="0"/>
          <w:sz w:val="24"/>
          <w:szCs w:val="24"/>
          <w:highlight w:val="none"/>
          <w:lang w:val="en-US" w:eastAsia="zh-CN"/>
        </w:rPr>
        <w:t>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a</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用户可自定义需求条目，可维护需求条目属性。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b</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可在线编辑需求条目及属性。</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c</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可进行需求版本管理，根据需求变化情况，工具平台自动统计版本信息。</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d</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可建立需求-设计-代码-测试之间的追踪关系</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可自动生成需求跟踪矩阵。</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e</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支持需求变更及变更流程发起、审批。</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b/>
          <w:bCs/>
          <w:kern w:val="0"/>
          <w:sz w:val="24"/>
          <w:szCs w:val="24"/>
          <w:highlight w:val="none"/>
          <w:lang w:val="zh-CN"/>
        </w:rPr>
      </w:pPr>
      <w:r>
        <w:rPr>
          <w:rFonts w:hint="eastAsia" w:hAnsi="宋体" w:cs="宋体"/>
          <w:color w:val="000000"/>
          <w:kern w:val="0"/>
          <w:sz w:val="24"/>
          <w:szCs w:val="24"/>
          <w:highlight w:val="none"/>
          <w:lang w:val="en-US" w:eastAsia="zh-CN"/>
        </w:rPr>
        <w:t>8</w:t>
      </w:r>
      <w:r>
        <w:rPr>
          <w:rFonts w:hint="default" w:ascii="宋体" w:hAnsi="宋体" w:eastAsia="宋体" w:cs="宋体"/>
          <w:color w:val="000000"/>
          <w:kern w:val="0"/>
          <w:sz w:val="24"/>
          <w:szCs w:val="24"/>
          <w:highlight w:val="none"/>
        </w:rPr>
        <w:t>）</w:t>
      </w:r>
      <w:r>
        <w:rPr>
          <w:rFonts w:hint="eastAsia" w:ascii="宋体" w:hAnsi="宋体" w:eastAsia="宋体" w:cs="宋体"/>
          <w:b/>
          <w:bCs/>
          <w:kern w:val="0"/>
          <w:sz w:val="24"/>
          <w:szCs w:val="24"/>
          <w:highlight w:val="none"/>
          <w:lang w:val="zh-CN"/>
        </w:rPr>
        <w:t>验证与确认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a</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可在线编制测试用例</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b</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可为每个测试用例在线填写测试结果，包括测试输出、测试结论、测试执行人、测试日期等信息</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c</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可对测试结论为“未通过”的用例创建缺陷问题，并启动相关缺陷问题处理流程</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d</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可自定义审查报告</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自动采集项目数据</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并使用已定义的验证与确认软件评审报告进行检查</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生成验证与确认软件评审报告</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color w:val="000000"/>
          <w:kern w:val="0"/>
          <w:sz w:val="24"/>
          <w:szCs w:val="24"/>
          <w:highlight w:val="none"/>
          <w:lang w:eastAsia="zh-Hans"/>
        </w:rPr>
      </w:pPr>
      <w:r>
        <w:rPr>
          <w:rFonts w:hint="eastAsia" w:hAnsi="宋体" w:cs="宋体"/>
          <w:color w:val="000000"/>
          <w:kern w:val="0"/>
          <w:sz w:val="24"/>
          <w:szCs w:val="24"/>
          <w:highlight w:val="none"/>
          <w:lang w:val="en-US" w:eastAsia="zh-CN"/>
        </w:rPr>
        <w:t>9</w:t>
      </w:r>
      <w:r>
        <w:rPr>
          <w:rFonts w:hint="default" w:ascii="宋体" w:hAnsi="宋体" w:eastAsia="宋体" w:cs="宋体"/>
          <w:color w:val="000000"/>
          <w:kern w:val="0"/>
          <w:sz w:val="24"/>
          <w:szCs w:val="24"/>
          <w:highlight w:val="none"/>
        </w:rPr>
        <w:t>）</w:t>
      </w:r>
      <w:r>
        <w:rPr>
          <w:rFonts w:hint="eastAsia" w:ascii="宋体" w:hAnsi="宋体" w:eastAsia="宋体" w:cs="宋体"/>
          <w:b/>
          <w:bCs/>
          <w:kern w:val="0"/>
          <w:sz w:val="24"/>
          <w:szCs w:val="24"/>
          <w:highlight w:val="none"/>
          <w:lang w:val="en-US" w:eastAsia="zh-Hans"/>
        </w:rPr>
        <w:t>配置管理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bookmarkStart w:id="95" w:name="_Toc456606005"/>
      <w:bookmarkStart w:id="96" w:name="_Ref516490491"/>
      <w:bookmarkStart w:id="97" w:name="_Toc456708897"/>
      <w:bookmarkStart w:id="98" w:name="_Ref516490489"/>
      <w:r>
        <w:rPr>
          <w:rFonts w:hint="eastAsia" w:ascii="宋体" w:hAnsi="宋体" w:eastAsia="宋体" w:cs="宋体"/>
          <w:kern w:val="2"/>
          <w:sz w:val="24"/>
          <w:szCs w:val="24"/>
          <w:highlight w:val="none"/>
          <w:lang w:val="en-US" w:eastAsia="zh-Hans"/>
        </w:rPr>
        <w:t>a</w:t>
      </w:r>
      <w:r>
        <w:rPr>
          <w:rFonts w:hint="default" w:ascii="宋体" w:hAnsi="宋体" w:eastAsia="宋体" w:cs="宋体"/>
          <w:kern w:val="2"/>
          <w:sz w:val="24"/>
          <w:szCs w:val="24"/>
          <w:highlight w:val="none"/>
          <w:lang w:eastAsia="zh-Hans"/>
        </w:rPr>
        <w:t>）</w:t>
      </w:r>
      <w:bookmarkEnd w:id="95"/>
      <w:bookmarkEnd w:id="96"/>
      <w:bookmarkEnd w:id="97"/>
      <w:bookmarkEnd w:id="98"/>
      <w:r>
        <w:rPr>
          <w:rFonts w:hint="eastAsia" w:ascii="宋体" w:hAnsi="宋体" w:eastAsia="宋体" w:cs="宋体"/>
          <w:kern w:val="2"/>
          <w:sz w:val="24"/>
          <w:szCs w:val="24"/>
          <w:highlight w:val="none"/>
          <w:lang w:val="en-US" w:eastAsia="zh-Hans"/>
        </w:rPr>
        <w:t>支持三库管理；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b</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支持配置库权限设置</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c</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支持版本标识规则自定义，工具平台根据版本标识规则自动生成版本标识。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bookmarkStart w:id="99" w:name="_Toc456708913"/>
      <w:bookmarkStart w:id="100" w:name="_Toc456606007"/>
      <w:r>
        <w:rPr>
          <w:rFonts w:hint="eastAsia" w:ascii="宋体" w:hAnsi="宋体" w:eastAsia="宋体" w:cs="宋体"/>
          <w:kern w:val="2"/>
          <w:sz w:val="24"/>
          <w:szCs w:val="24"/>
          <w:highlight w:val="none"/>
          <w:lang w:val="en-US" w:eastAsia="zh-Hans"/>
        </w:rPr>
        <w:t>d</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支持基线管理</w:t>
      </w:r>
      <w:bookmarkEnd w:id="99"/>
      <w:bookmarkEnd w:id="100"/>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包括建立基线、基线版本标识和状态标识、基线比较</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e</w:t>
      </w:r>
      <w:r>
        <w:rPr>
          <w:rFonts w:hint="default" w:ascii="宋体" w:hAnsi="宋体" w:eastAsia="宋体" w:cs="宋体"/>
          <w:kern w:val="2"/>
          <w:sz w:val="24"/>
          <w:szCs w:val="24"/>
          <w:highlight w:val="none"/>
          <w:lang w:eastAsia="zh-Hans"/>
        </w:rPr>
        <w:t>）</w:t>
      </w:r>
      <w:bookmarkStart w:id="101" w:name="_Toc456708919"/>
      <w:bookmarkStart w:id="102" w:name="_Toc456606008"/>
      <w:r>
        <w:rPr>
          <w:rFonts w:hint="eastAsia" w:ascii="宋体" w:hAnsi="宋体" w:eastAsia="宋体" w:cs="宋体"/>
          <w:kern w:val="2"/>
          <w:sz w:val="24"/>
          <w:szCs w:val="24"/>
          <w:highlight w:val="none"/>
          <w:lang w:val="en-US" w:eastAsia="zh-Hans"/>
        </w:rPr>
        <w:t>支持配置审核</w:t>
      </w:r>
      <w:bookmarkEnd w:id="101"/>
      <w:bookmarkEnd w:id="102"/>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可自定义配置审核检查单</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根据配置审核检查单执行检查</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d</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支持变更、及出入库管理</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e</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支持</w:t>
      </w:r>
      <w:bookmarkStart w:id="103" w:name="_Toc456708939"/>
      <w:bookmarkStart w:id="104" w:name="_Toc456606010"/>
      <w:r>
        <w:rPr>
          <w:rFonts w:hint="eastAsia" w:ascii="宋体" w:hAnsi="宋体" w:eastAsia="宋体" w:cs="宋体"/>
          <w:kern w:val="2"/>
          <w:sz w:val="24"/>
          <w:szCs w:val="24"/>
          <w:highlight w:val="none"/>
          <w:lang w:val="en-US" w:eastAsia="zh-Hans"/>
        </w:rPr>
        <w:t>配置信息查询</w:t>
      </w:r>
      <w:bookmarkEnd w:id="103"/>
      <w:bookmarkEnd w:id="104"/>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可自动生成配置状态报告</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color w:val="000000"/>
          <w:kern w:val="0"/>
          <w:sz w:val="24"/>
          <w:szCs w:val="24"/>
          <w:highlight w:val="none"/>
          <w:lang w:val="en-US" w:eastAsia="zh-Hans"/>
        </w:rPr>
      </w:pPr>
      <w:r>
        <w:rPr>
          <w:rFonts w:hint="eastAsia" w:hAnsi="宋体" w:cs="宋体"/>
          <w:color w:val="000000"/>
          <w:kern w:val="0"/>
          <w:sz w:val="24"/>
          <w:szCs w:val="24"/>
          <w:highlight w:val="none"/>
          <w:lang w:val="en-US" w:eastAsia="zh-CN"/>
        </w:rPr>
        <w:t>10</w:t>
      </w:r>
      <w:r>
        <w:rPr>
          <w:rFonts w:hint="default" w:ascii="宋体" w:hAnsi="宋体" w:eastAsia="宋体" w:cs="宋体"/>
          <w:color w:val="000000"/>
          <w:kern w:val="0"/>
          <w:sz w:val="24"/>
          <w:szCs w:val="24"/>
          <w:highlight w:val="none"/>
        </w:rPr>
        <w:t>）</w:t>
      </w:r>
      <w:r>
        <w:rPr>
          <w:rFonts w:hint="eastAsia" w:ascii="宋体" w:hAnsi="宋体" w:eastAsia="宋体" w:cs="宋体"/>
          <w:b/>
          <w:bCs/>
          <w:kern w:val="0"/>
          <w:sz w:val="24"/>
          <w:szCs w:val="24"/>
          <w:highlight w:val="none"/>
          <w:lang w:val="en-US" w:eastAsia="zh-Hans"/>
        </w:rPr>
        <w:t>质量保证</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bookmarkStart w:id="105" w:name="_Toc456606000"/>
      <w:bookmarkStart w:id="106" w:name="_Toc456708870"/>
      <w:r>
        <w:rPr>
          <w:rFonts w:hint="eastAsia" w:ascii="宋体" w:hAnsi="宋体" w:eastAsia="宋体" w:cs="宋体"/>
          <w:kern w:val="2"/>
          <w:sz w:val="24"/>
          <w:szCs w:val="24"/>
          <w:highlight w:val="none"/>
          <w:lang w:val="en-US" w:eastAsia="zh-Hans"/>
        </w:rPr>
        <w:t>a</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可自定义QA检查单</w:t>
      </w:r>
      <w:bookmarkEnd w:id="105"/>
      <w:bookmarkEnd w:id="106"/>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并使用已定义的QA检查单执行检查</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b</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可报告不符合项，并自动关联QA检查单</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eastAsia" w:ascii="宋体" w:hAnsi="宋体" w:eastAsia="宋体" w:cs="宋体"/>
          <w:kern w:val="2"/>
          <w:sz w:val="24"/>
          <w:szCs w:val="24"/>
          <w:highlight w:val="none"/>
          <w:lang w:val="en-US" w:eastAsia="zh-Hans"/>
        </w:rPr>
        <w:t>c</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可分配不符合项</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可记录、分析、处理、验证不符合项</w:t>
      </w:r>
      <w:r>
        <w:rPr>
          <w:rFonts w:hint="default" w:ascii="宋体" w:hAnsi="宋体" w:eastAsia="宋体" w:cs="宋体"/>
          <w:kern w:val="2"/>
          <w:sz w:val="24"/>
          <w:szCs w:val="24"/>
          <w:highlight w:val="none"/>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d</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可对NC问题按照不同属性进行统计分析。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e</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自动采集数据，生成QA报告</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包含QA周报</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QA阶段报告</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eastAsia="zh-Hans"/>
        </w:rPr>
      </w:pPr>
      <w:r>
        <w:rPr>
          <w:rFonts w:hint="default" w:ascii="宋体" w:hAnsi="宋体" w:eastAsia="宋体" w:cs="宋体"/>
          <w:color w:val="000000"/>
          <w:kern w:val="0"/>
          <w:sz w:val="24"/>
          <w:szCs w:val="24"/>
          <w:highlight w:val="none"/>
        </w:rPr>
        <w:t>1</w:t>
      </w:r>
      <w:r>
        <w:rPr>
          <w:rFonts w:hint="eastAsia" w:hAnsi="宋体" w:cs="宋体"/>
          <w:color w:val="000000"/>
          <w:kern w:val="0"/>
          <w:sz w:val="24"/>
          <w:szCs w:val="24"/>
          <w:highlight w:val="none"/>
          <w:lang w:val="en-US" w:eastAsia="zh-CN"/>
        </w:rPr>
        <w:t>1</w:t>
      </w:r>
      <w:r>
        <w:rPr>
          <w:rFonts w:hint="default" w:ascii="宋体" w:hAnsi="宋体" w:eastAsia="宋体" w:cs="宋体"/>
          <w:color w:val="000000"/>
          <w:kern w:val="0"/>
          <w:sz w:val="24"/>
          <w:szCs w:val="24"/>
          <w:highlight w:val="none"/>
        </w:rPr>
        <w:t>）</w:t>
      </w:r>
      <w:r>
        <w:rPr>
          <w:rFonts w:hint="eastAsia" w:ascii="宋体" w:hAnsi="宋体" w:eastAsia="宋体" w:cs="宋体"/>
          <w:b/>
          <w:bCs/>
          <w:kern w:val="0"/>
          <w:sz w:val="24"/>
          <w:szCs w:val="24"/>
          <w:highlight w:val="none"/>
          <w:lang w:val="zh-CN"/>
        </w:rPr>
        <w:t>测量与绩效管理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a</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可自动采集测量过程中定义的各过程的相关基础数据。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b</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可计算实际测量值和与测量指标的偏差。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c</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可通过图形、列表方式展示质量趋势。</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d</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自动统计项目过程中的数据，包括：里程碑进度偏差、各阶段工作量偏差、各类型任务工作量、成本/进度性能、需求变更率、评审缺陷密度、测试缺陷密度、项目平均生产率、各工作产品规模偏差、NC所属过程分布、NC所属产品分布。</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e</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可自定义测量阈值，并在测量分析报告中标识阈值。</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US" w:eastAsia="zh-Hans"/>
        </w:rPr>
        <w:t>f</w:t>
      </w:r>
      <w:r>
        <w:rPr>
          <w:rFonts w:hint="default" w:ascii="宋体" w:hAnsi="宋体" w:eastAsia="宋体" w:cs="宋体"/>
          <w:kern w:val="2"/>
          <w:sz w:val="24"/>
          <w:szCs w:val="24"/>
          <w:highlight w:val="none"/>
          <w:lang w:eastAsia="zh-Hans"/>
        </w:rPr>
        <w:t>）</w:t>
      </w:r>
      <w:r>
        <w:rPr>
          <w:rFonts w:hint="eastAsia" w:ascii="宋体" w:hAnsi="宋体" w:eastAsia="宋体" w:cs="宋体"/>
          <w:kern w:val="2"/>
          <w:sz w:val="24"/>
          <w:szCs w:val="24"/>
          <w:highlight w:val="none"/>
          <w:lang w:val="en-US" w:eastAsia="zh-Hans"/>
        </w:rPr>
        <w:t>可通过图形、列表方式展示统计结果。</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eastAsia" w:ascii="宋体" w:hAnsi="宋体" w:eastAsia="宋体" w:cs="宋体"/>
          <w:kern w:val="2"/>
          <w:sz w:val="24"/>
          <w:szCs w:val="24"/>
          <w:highlight w:val="none"/>
          <w:lang w:val="en-US" w:eastAsia="zh-Hans"/>
        </w:rPr>
      </w:pPr>
      <w:r>
        <w:rPr>
          <w:rFonts w:hint="default" w:ascii="宋体" w:hAnsi="宋体" w:eastAsia="宋体" w:cs="宋体"/>
          <w:color w:val="000000"/>
          <w:kern w:val="0"/>
          <w:sz w:val="24"/>
          <w:szCs w:val="24"/>
          <w:highlight w:val="none"/>
        </w:rPr>
        <w:t>1</w:t>
      </w:r>
      <w:r>
        <w:rPr>
          <w:rFonts w:hint="eastAsia" w:hAnsi="宋体" w:cs="宋体"/>
          <w:color w:val="000000"/>
          <w:kern w:val="0"/>
          <w:sz w:val="24"/>
          <w:szCs w:val="24"/>
          <w:highlight w:val="none"/>
          <w:lang w:val="en-US" w:eastAsia="zh-CN"/>
        </w:rPr>
        <w:t>2</w:t>
      </w:r>
      <w:r>
        <w:rPr>
          <w:rFonts w:hint="default" w:ascii="宋体" w:hAnsi="宋体" w:eastAsia="宋体" w:cs="宋体"/>
          <w:color w:val="000000"/>
          <w:kern w:val="0"/>
          <w:sz w:val="24"/>
          <w:szCs w:val="24"/>
          <w:highlight w:val="none"/>
        </w:rPr>
        <w:t>）</w:t>
      </w:r>
      <w:r>
        <w:rPr>
          <w:rFonts w:hint="eastAsia" w:ascii="宋体" w:hAnsi="宋体" w:eastAsia="宋体" w:cs="宋体"/>
          <w:b/>
          <w:bCs/>
          <w:kern w:val="0"/>
          <w:sz w:val="24"/>
          <w:szCs w:val="24"/>
          <w:highlight w:val="none"/>
          <w:lang w:val="zh-CN"/>
        </w:rPr>
        <w:t>运行维护</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kern w:val="2"/>
          <w:sz w:val="24"/>
          <w:szCs w:val="24"/>
          <w:highlight w:val="none"/>
          <w:lang w:val="en-US" w:eastAsia="zh-Hans"/>
        </w:rPr>
      </w:pPr>
      <w:r>
        <w:rPr>
          <w:rFonts w:hint="eastAsia" w:ascii="宋体" w:hAnsi="宋体" w:eastAsia="宋体" w:cs="宋体"/>
          <w:kern w:val="2"/>
          <w:sz w:val="24"/>
          <w:szCs w:val="24"/>
          <w:highlight w:val="none"/>
          <w:lang w:val="en-GB" w:eastAsia="zh-Hans"/>
        </w:rPr>
        <w:t>提供产品交付后运行维护服务管理，包括运行维护期间的任务管理、服务记录管理</w:t>
      </w:r>
      <w:r>
        <w:rPr>
          <w:rFonts w:hint="default" w:ascii="宋体" w:hAnsi="宋体" w:eastAsia="宋体" w:cs="宋体"/>
          <w:kern w:val="2"/>
          <w:sz w:val="24"/>
          <w:szCs w:val="24"/>
          <w:highlight w:val="none"/>
          <w:lang w:val="en-US" w:eastAsia="zh-Hans"/>
        </w:rPr>
        <w:t>、</w:t>
      </w:r>
      <w:r>
        <w:rPr>
          <w:rFonts w:hint="eastAsia" w:ascii="宋体" w:hAnsi="宋体" w:eastAsia="宋体" w:cs="宋体"/>
          <w:kern w:val="2"/>
          <w:sz w:val="24"/>
          <w:szCs w:val="24"/>
          <w:highlight w:val="none"/>
          <w:lang w:val="en-GB" w:eastAsia="zh-Hans"/>
        </w:rPr>
        <w:t>技术支持、培训服务</w:t>
      </w:r>
      <w:r>
        <w:rPr>
          <w:rFonts w:hint="eastAsia" w:ascii="宋体" w:hAnsi="宋体" w:eastAsia="宋体" w:cs="宋体"/>
          <w:kern w:val="2"/>
          <w:sz w:val="24"/>
          <w:szCs w:val="24"/>
          <w:highlight w:val="none"/>
          <w:lang w:val="en-US" w:eastAsia="zh-Hans"/>
        </w:rPr>
        <w:t>等</w:t>
      </w:r>
      <w:r>
        <w:rPr>
          <w:rFonts w:hint="default" w:ascii="宋体" w:hAnsi="宋体" w:eastAsia="宋体" w:cs="宋体"/>
          <w:kern w:val="2"/>
          <w:sz w:val="24"/>
          <w:szCs w:val="24"/>
          <w:highlight w:val="none"/>
          <w:lang w:val="en-US" w:eastAsia="zh-Hans"/>
        </w:rPr>
        <w:t>。</w:t>
      </w:r>
    </w:p>
    <w:p>
      <w:pPr>
        <w:keepNext/>
        <w:keepLines/>
        <w:widowControl w:val="0"/>
        <w:spacing w:before="260" w:after="260" w:line="413" w:lineRule="auto"/>
        <w:jc w:val="both"/>
        <w:outlineLvl w:val="1"/>
        <w:rPr>
          <w:rFonts w:hint="eastAsia" w:ascii="Arial" w:hAnsi="Arial" w:eastAsia="黑体" w:cs="Times New Roman"/>
          <w:b/>
          <w:bCs/>
          <w:sz w:val="32"/>
          <w:szCs w:val="32"/>
          <w:highlight w:val="none"/>
          <w:lang w:val="en-US" w:eastAsia="zh-Hans" w:bidi="ar-SA"/>
        </w:rPr>
      </w:pPr>
    </w:p>
    <w:p>
      <w:pPr>
        <w:widowControl w:val="0"/>
        <w:numPr>
          <w:ilvl w:val="0"/>
          <w:numId w:val="0"/>
        </w:numPr>
        <w:adjustRightInd w:val="0"/>
        <w:ind w:firstLine="420"/>
        <w:jc w:val="both"/>
        <w:rPr>
          <w:rFonts w:ascii="Calibri" w:hAnsi="宋体" w:eastAsia="宋体" w:cs="Times New Roman"/>
          <w:sz w:val="20"/>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baseline"/>
        <w:rPr>
          <w:rFonts w:hint="default" w:ascii="宋体" w:hAnsi="宋体" w:eastAsia="宋体" w:cs="宋体"/>
          <w:color w:val="000000"/>
          <w:kern w:val="0"/>
          <w:sz w:val="24"/>
          <w:szCs w:val="24"/>
          <w:highlight w:val="none"/>
          <w:lang w:eastAsia="zh-Hans"/>
        </w:rPr>
      </w:pPr>
    </w:p>
    <w:p>
      <w:pPr>
        <w:widowControl/>
        <w:spacing w:after="0" w:line="360" w:lineRule="auto"/>
        <w:ind w:firstLine="480" w:firstLineChars="200"/>
        <w:textAlignment w:val="baseline"/>
        <w:rPr>
          <w:rFonts w:hint="default" w:ascii="宋体" w:hAnsi="宋体" w:eastAsia="宋体" w:cs="宋体"/>
          <w:kern w:val="2"/>
          <w:sz w:val="24"/>
          <w:szCs w:val="24"/>
          <w:highlight w:val="none"/>
          <w:lang w:eastAsia="zh-Hans"/>
        </w:rPr>
      </w:pPr>
    </w:p>
    <w:p>
      <w:pPr>
        <w:widowControl/>
        <w:spacing w:after="120" w:line="259" w:lineRule="auto"/>
        <w:ind w:left="360" w:firstLine="210"/>
        <w:jc w:val="left"/>
        <w:textAlignment w:val="baseline"/>
        <w:rPr>
          <w:rFonts w:hint="eastAsia" w:ascii="Times New Roman" w:hAnsi="Times New Roman" w:eastAsia="宋体" w:cs="Times New Roman"/>
          <w:kern w:val="0"/>
          <w:sz w:val="21"/>
          <w:szCs w:val="24"/>
          <w:highlight w:val="none"/>
          <w:lang w:val="zh-CN" w:eastAsia="zh-CN" w:bidi="ar-SA"/>
        </w:rPr>
      </w:pPr>
    </w:p>
    <w:p>
      <w:pPr>
        <w:widowControl/>
        <w:spacing w:after="120" w:line="259" w:lineRule="auto"/>
        <w:ind w:left="360" w:firstLine="210"/>
        <w:jc w:val="left"/>
        <w:textAlignment w:val="baseline"/>
        <w:rPr>
          <w:rFonts w:hint="eastAsia" w:ascii="Times New Roman" w:hAnsi="Times New Roman" w:eastAsia="宋体" w:cs="Times New Roman"/>
          <w:kern w:val="0"/>
          <w:sz w:val="21"/>
          <w:szCs w:val="24"/>
          <w:highlight w:val="none"/>
          <w:lang w:val="en-US" w:eastAsia="zh-Hans" w:bidi="ar-SA"/>
        </w:rPr>
      </w:pPr>
    </w:p>
    <w:p>
      <w:pPr>
        <w:widowControl w:val="0"/>
        <w:spacing w:after="120"/>
        <w:ind w:left="680" w:leftChars="200" w:firstLine="680" w:firstLineChars="200"/>
        <w:jc w:val="both"/>
        <w:rPr>
          <w:rFonts w:hint="eastAsia" w:ascii="宋体" w:hAnsi="Times New Roman" w:eastAsia="宋体" w:cs="Times New Roman"/>
          <w:sz w:val="34"/>
          <w:szCs w:val="24"/>
          <w:highlight w:val="none"/>
          <w:lang w:val="en-US" w:eastAsia="zh-Hans" w:bidi="ar-SA"/>
        </w:rPr>
      </w:pPr>
    </w:p>
    <w:p>
      <w:pPr>
        <w:widowControl w:val="0"/>
        <w:spacing w:after="120"/>
        <w:ind w:left="680" w:leftChars="200" w:firstLine="680" w:firstLineChars="200"/>
        <w:jc w:val="both"/>
        <w:rPr>
          <w:rFonts w:hint="eastAsia" w:ascii="宋体" w:hAnsi="Times New Roman" w:eastAsia="宋体" w:cs="Times New Roman"/>
          <w:sz w:val="34"/>
          <w:szCs w:val="24"/>
          <w:highlight w:val="none"/>
          <w:lang w:val="en-US" w:eastAsia="zh-Hans" w:bidi="ar-SA"/>
        </w:rPr>
      </w:pPr>
      <w:r>
        <w:rPr>
          <w:rFonts w:hint="eastAsia" w:ascii="宋体" w:hAnsi="Times New Roman" w:eastAsia="宋体" w:cs="Times New Roman"/>
          <w:sz w:val="34"/>
          <w:szCs w:val="24"/>
          <w:highlight w:val="none"/>
          <w:lang w:val="en-US" w:eastAsia="zh-Hans" w:bidi="ar-SA"/>
        </w:rPr>
        <w:br w:type="page"/>
      </w:r>
    </w:p>
    <w:p>
      <w:pPr>
        <w:widowControl w:val="0"/>
        <w:spacing w:before="638" w:beforeLines="200" w:after="159" w:afterLines="50" w:line="360" w:lineRule="auto"/>
        <w:jc w:val="center"/>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商务要求 （实质性要求）</w:t>
      </w:r>
    </w:p>
    <w:p>
      <w:pPr>
        <w:widowControl w:val="0"/>
        <w:numPr>
          <w:ilvl w:val="0"/>
          <w:numId w:val="22"/>
        </w:numPr>
        <w:spacing w:after="120" w:line="360" w:lineRule="auto"/>
        <w:ind w:firstLine="482"/>
        <w:textAlignment w:val="auto"/>
        <w:rPr>
          <w:rFonts w:hint="eastAsia" w:ascii="黑体" w:hAnsi="黑体" w:eastAsia="黑体" w:cs="黑体"/>
          <w:b/>
          <w:bCs/>
          <w:sz w:val="24"/>
          <w:szCs w:val="32"/>
          <w:highlight w:val="none"/>
        </w:rPr>
      </w:pPr>
      <w:r>
        <w:rPr>
          <w:rFonts w:hint="eastAsia" w:ascii="黑体" w:hAnsi="黑体" w:eastAsia="黑体" w:cs="黑体"/>
          <w:b/>
          <w:bCs/>
          <w:sz w:val="24"/>
          <w:szCs w:val="32"/>
          <w:highlight w:val="none"/>
        </w:rPr>
        <w:t>付款方式</w:t>
      </w:r>
      <w:r>
        <w:rPr>
          <w:rFonts w:hint="eastAsia" w:ascii="黑体" w:hAnsi="黑体" w:eastAsia="黑体" w:cs="黑体"/>
          <w:sz w:val="24"/>
          <w:szCs w:val="32"/>
          <w:highlight w:val="none"/>
        </w:rPr>
        <w:t>（“甲方”指“采购人”，“乙方”指“</w:t>
      </w:r>
      <w:r>
        <w:rPr>
          <w:rFonts w:hint="eastAsia" w:ascii="黑体" w:hAnsi="黑体" w:eastAsia="黑体" w:cs="黑体"/>
          <w:sz w:val="24"/>
          <w:szCs w:val="32"/>
          <w:highlight w:val="none"/>
          <w:lang w:eastAsia="zh-CN"/>
        </w:rPr>
        <w:t>供应商</w:t>
      </w:r>
      <w:r>
        <w:rPr>
          <w:rFonts w:hint="eastAsia" w:ascii="黑体" w:hAnsi="黑体" w:eastAsia="黑体" w:cs="黑体"/>
          <w:sz w:val="24"/>
          <w:szCs w:val="32"/>
          <w:highlight w:val="none"/>
        </w:rPr>
        <w:t>”）</w:t>
      </w:r>
    </w:p>
    <w:p>
      <w:pPr>
        <w:widowControl w:val="0"/>
        <w:numPr>
          <w:ilvl w:val="0"/>
          <w:numId w:val="23"/>
        </w:numPr>
        <w:spacing w:after="120" w:line="360" w:lineRule="auto"/>
        <w:ind w:firstLine="480"/>
        <w:jc w:val="both"/>
        <w:textAlignment w:val="auto"/>
        <w:rPr>
          <w:rFonts w:hint="eastAsia" w:ascii="宋体" w:hAnsi="宋体" w:eastAsia="宋体" w:cs="宋体"/>
          <w:sz w:val="24"/>
          <w:szCs w:val="32"/>
          <w:highlight w:val="none"/>
          <w:lang w:val="en-US" w:eastAsia="zh-CN" w:bidi="ar-SA"/>
        </w:rPr>
      </w:pPr>
      <w:r>
        <w:rPr>
          <w:rFonts w:hint="eastAsia" w:ascii="宋体" w:hAnsi="宋体" w:eastAsia="宋体" w:cs="宋体"/>
          <w:sz w:val="24"/>
          <w:szCs w:val="32"/>
          <w:highlight w:val="none"/>
          <w:lang w:val="en-US" w:eastAsia="zh-CN" w:bidi="ar-SA"/>
        </w:rPr>
        <w:t>合同生效后，甲方30天内预付乙方20%合同款项。</w:t>
      </w:r>
    </w:p>
    <w:p>
      <w:pPr>
        <w:widowControl w:val="0"/>
        <w:numPr>
          <w:ilvl w:val="0"/>
          <w:numId w:val="23"/>
        </w:numPr>
        <w:spacing w:after="120" w:line="360" w:lineRule="auto"/>
        <w:ind w:firstLine="480"/>
        <w:jc w:val="both"/>
        <w:textAlignment w:val="auto"/>
        <w:rPr>
          <w:rFonts w:hint="eastAsia" w:ascii="宋体" w:hAnsi="宋体" w:eastAsia="宋体" w:cs="宋体"/>
          <w:sz w:val="24"/>
          <w:szCs w:val="32"/>
          <w:highlight w:val="none"/>
          <w:lang w:val="en-US" w:eastAsia="zh-CN" w:bidi="ar-SA"/>
        </w:rPr>
      </w:pPr>
      <w:r>
        <w:rPr>
          <w:rFonts w:hint="eastAsia" w:ascii="宋体" w:hAnsi="宋体" w:eastAsia="宋体" w:cs="宋体"/>
          <w:sz w:val="24"/>
          <w:szCs w:val="32"/>
          <w:highlight w:val="none"/>
          <w:lang w:val="en-US" w:eastAsia="zh-CN" w:bidi="ar-SA"/>
        </w:rPr>
        <w:t xml:space="preserve">软件管理平台通过第三方保密测评，并通过体系文件与软件管理平台的一致性检查及整改后，乙方开具相应金额发票后30天内支付合同金额的30%；        </w:t>
      </w:r>
    </w:p>
    <w:p>
      <w:pPr>
        <w:widowControl w:val="0"/>
        <w:numPr>
          <w:ilvl w:val="0"/>
          <w:numId w:val="23"/>
        </w:numPr>
        <w:spacing w:after="120" w:line="360" w:lineRule="auto"/>
        <w:ind w:firstLine="480"/>
        <w:jc w:val="both"/>
        <w:textAlignment w:val="auto"/>
        <w:rPr>
          <w:rFonts w:hint="eastAsia" w:ascii="宋体" w:hAnsi="宋体" w:eastAsia="宋体" w:cs="宋体"/>
          <w:sz w:val="24"/>
          <w:szCs w:val="32"/>
          <w:highlight w:val="none"/>
          <w:lang w:val="en-US" w:eastAsia="zh-CN" w:bidi="ar-SA"/>
        </w:rPr>
      </w:pPr>
      <w:r>
        <w:rPr>
          <w:rFonts w:hint="eastAsia" w:ascii="宋体" w:hAnsi="宋体" w:eastAsia="宋体" w:cs="宋体"/>
          <w:sz w:val="24"/>
          <w:szCs w:val="32"/>
          <w:highlight w:val="none"/>
          <w:lang w:val="en-US" w:eastAsia="zh-CN" w:bidi="ar-SA"/>
        </w:rPr>
        <w:t xml:space="preserve">甲方通过内部评价及整改后，乙方开具相应金额发票后30天内支付合同金额的30%；        </w:t>
      </w:r>
    </w:p>
    <w:p>
      <w:pPr>
        <w:widowControl w:val="0"/>
        <w:numPr>
          <w:ilvl w:val="0"/>
          <w:numId w:val="23"/>
        </w:numPr>
        <w:spacing w:after="120" w:line="360" w:lineRule="auto"/>
        <w:ind w:firstLine="480"/>
        <w:jc w:val="both"/>
        <w:textAlignment w:val="auto"/>
        <w:rPr>
          <w:rFonts w:hint="eastAsia" w:ascii="黑体" w:hAnsi="黑体" w:eastAsia="黑体" w:cs="黑体"/>
          <w:b/>
          <w:bCs/>
          <w:sz w:val="24"/>
          <w:szCs w:val="32"/>
          <w:highlight w:val="none"/>
          <w:lang w:val="en-US" w:eastAsia="zh-CN" w:bidi="ar-SA"/>
        </w:rPr>
      </w:pPr>
      <w:r>
        <w:rPr>
          <w:rFonts w:hint="eastAsia" w:ascii="宋体" w:hAnsi="宋体" w:eastAsia="宋体" w:cs="宋体"/>
          <w:sz w:val="24"/>
          <w:szCs w:val="32"/>
          <w:highlight w:val="none"/>
          <w:lang w:val="en-US" w:eastAsia="zh-CN" w:bidi="ar-SA"/>
        </w:rPr>
        <w:t>甲方通过换版认证并收到乙方开具相应金额发票后30日内支付剩余20%合同金额。</w:t>
      </w:r>
    </w:p>
    <w:p>
      <w:pPr>
        <w:widowControl w:val="0"/>
        <w:numPr>
          <w:ilvl w:val="0"/>
          <w:numId w:val="22"/>
        </w:numPr>
        <w:spacing w:after="120" w:line="360" w:lineRule="auto"/>
        <w:ind w:firstLine="482"/>
        <w:textAlignment w:val="auto"/>
        <w:rPr>
          <w:rFonts w:hint="eastAsia" w:ascii="黑体" w:hAnsi="黑体" w:eastAsia="黑体" w:cs="黑体"/>
          <w:b/>
          <w:bCs/>
          <w:sz w:val="24"/>
          <w:szCs w:val="32"/>
          <w:highlight w:val="none"/>
        </w:rPr>
      </w:pPr>
      <w:r>
        <w:rPr>
          <w:rFonts w:hint="eastAsia" w:ascii="黑体" w:hAnsi="黑体" w:eastAsia="黑体" w:cs="黑体"/>
          <w:b/>
          <w:bCs/>
          <w:sz w:val="24"/>
          <w:szCs w:val="32"/>
          <w:highlight w:val="none"/>
        </w:rPr>
        <w:t>质保期：</w:t>
      </w:r>
      <w:r>
        <w:rPr>
          <w:rFonts w:hint="eastAsia" w:ascii="黑体" w:hAnsi="黑体" w:eastAsia="黑体" w:cs="黑体"/>
          <w:b/>
          <w:bCs/>
          <w:sz w:val="24"/>
          <w:szCs w:val="32"/>
          <w:highlight w:val="none"/>
          <w:lang w:val="en-US" w:eastAsia="zh-CN"/>
        </w:rPr>
        <w:t>咨询服务无质保期。</w:t>
      </w:r>
      <w:r>
        <w:rPr>
          <w:rFonts w:hint="eastAsia" w:ascii="宋体" w:hAnsi="宋体" w:eastAsia="宋体" w:cs="宋体"/>
          <w:sz w:val="24"/>
          <w:highlight w:val="none"/>
        </w:rPr>
        <w:t>软件管理平台</w:t>
      </w:r>
      <w:r>
        <w:rPr>
          <w:rFonts w:hint="eastAsia" w:ascii="宋体" w:hAnsi="宋体" w:eastAsia="宋体" w:cs="宋体"/>
          <w:sz w:val="24"/>
          <w:highlight w:val="none"/>
          <w:lang w:val="en-US"/>
        </w:rPr>
        <w:t>质保</w:t>
      </w:r>
      <w:r>
        <w:rPr>
          <w:rFonts w:hint="eastAsia" w:ascii="宋体" w:hAnsi="宋体" w:eastAsia="宋体" w:cs="宋体"/>
          <w:sz w:val="24"/>
          <w:szCs w:val="32"/>
          <w:highlight w:val="none"/>
          <w:lang w:val="en-US" w:eastAsia="zh-CN"/>
        </w:rPr>
        <w:t>3</w:t>
      </w:r>
      <w:r>
        <w:rPr>
          <w:rFonts w:hint="eastAsia" w:ascii="宋体" w:hAnsi="宋体" w:eastAsia="宋体" w:cs="宋体"/>
          <w:sz w:val="24"/>
          <w:szCs w:val="32"/>
          <w:highlight w:val="none"/>
        </w:rPr>
        <w:t>年，</w:t>
      </w:r>
      <w:r>
        <w:rPr>
          <w:rFonts w:ascii="宋体" w:hAnsi="宋体" w:eastAsia="宋体" w:cs="Times New Roman"/>
          <w:sz w:val="24"/>
          <w:highlight w:val="none"/>
        </w:rPr>
        <w:t>时间从验收合格之日</w:t>
      </w:r>
      <w:r>
        <w:rPr>
          <w:rFonts w:hint="eastAsia" w:ascii="宋体" w:hAnsi="宋体" w:eastAsia="宋体" w:cs="Times New Roman"/>
          <w:sz w:val="24"/>
          <w:highlight w:val="none"/>
        </w:rPr>
        <w:t>起计算</w:t>
      </w:r>
      <w:r>
        <w:rPr>
          <w:rFonts w:ascii="宋体" w:hAnsi="宋体" w:eastAsia="宋体" w:cs="Times New Roman"/>
          <w:sz w:val="24"/>
          <w:highlight w:val="none"/>
        </w:rPr>
        <w:t>，质保期内设备</w:t>
      </w:r>
      <w:r>
        <w:rPr>
          <w:rFonts w:hint="eastAsia" w:ascii="宋体" w:hAnsi="宋体" w:eastAsia="宋体" w:cs="Times New Roman"/>
          <w:sz w:val="24"/>
          <w:highlight w:val="none"/>
          <w:lang w:val="en-US" w:eastAsia="zh-Hans"/>
        </w:rPr>
        <w:t>和系统</w:t>
      </w:r>
      <w:r>
        <w:rPr>
          <w:rFonts w:ascii="宋体" w:hAnsi="宋体" w:eastAsia="宋体" w:cs="Times New Roman"/>
          <w:sz w:val="24"/>
          <w:highlight w:val="none"/>
        </w:rPr>
        <w:t>由</w:t>
      </w:r>
      <w:r>
        <w:rPr>
          <w:rFonts w:hint="eastAsia" w:ascii="宋体" w:hAnsi="宋体" w:eastAsia="宋体" w:cs="Times New Roman"/>
          <w:sz w:val="24"/>
          <w:highlight w:val="none"/>
        </w:rPr>
        <w:t>供应商</w:t>
      </w:r>
      <w:r>
        <w:rPr>
          <w:rFonts w:ascii="宋体" w:hAnsi="宋体" w:eastAsia="宋体" w:cs="Times New Roman"/>
          <w:sz w:val="24"/>
          <w:highlight w:val="none"/>
        </w:rPr>
        <w:t>进行</w:t>
      </w:r>
      <w:r>
        <w:rPr>
          <w:rFonts w:hint="eastAsia" w:ascii="宋体" w:hAnsi="宋体" w:eastAsia="宋体" w:cs="Times New Roman"/>
          <w:sz w:val="24"/>
          <w:highlight w:val="none"/>
          <w:lang w:val="en-US"/>
        </w:rPr>
        <w:t>维修</w:t>
      </w:r>
      <w:r>
        <w:rPr>
          <w:rFonts w:hint="eastAsia" w:ascii="宋体" w:hAnsi="宋体" w:eastAsia="宋体" w:cs="Times New Roman"/>
          <w:sz w:val="24"/>
          <w:highlight w:val="none"/>
        </w:rPr>
        <w:t>（更换）</w:t>
      </w:r>
      <w:r>
        <w:rPr>
          <w:rFonts w:hint="eastAsia" w:ascii="宋体" w:hAnsi="宋体" w:eastAsia="宋体" w:cs="Times New Roman"/>
          <w:sz w:val="24"/>
          <w:highlight w:val="none"/>
          <w:lang w:val="en-US"/>
        </w:rPr>
        <w:t>以及更新</w:t>
      </w:r>
      <w:r>
        <w:rPr>
          <w:rFonts w:ascii="宋体" w:hAnsi="宋体" w:eastAsia="宋体" w:cs="Times New Roman"/>
          <w:sz w:val="24"/>
          <w:highlight w:val="none"/>
        </w:rPr>
        <w:t>，所有相关费用由</w:t>
      </w:r>
      <w:r>
        <w:rPr>
          <w:rFonts w:hint="eastAsia" w:ascii="宋体" w:hAnsi="宋体" w:eastAsia="宋体" w:cs="Times New Roman"/>
          <w:sz w:val="24"/>
          <w:highlight w:val="none"/>
        </w:rPr>
        <w:t>供应商</w:t>
      </w:r>
      <w:r>
        <w:rPr>
          <w:rFonts w:ascii="宋体" w:hAnsi="宋体" w:eastAsia="宋体" w:cs="Times New Roman"/>
          <w:sz w:val="24"/>
          <w:highlight w:val="none"/>
        </w:rPr>
        <w:t>承担</w:t>
      </w:r>
      <w:r>
        <w:rPr>
          <w:rFonts w:hint="eastAsia" w:ascii="黑体" w:hAnsi="黑体" w:eastAsia="黑体" w:cs="黑体"/>
          <w:b/>
          <w:bCs/>
          <w:sz w:val="24"/>
          <w:szCs w:val="32"/>
          <w:highlight w:val="none"/>
        </w:rPr>
        <w:t>。</w:t>
      </w:r>
    </w:p>
    <w:p>
      <w:pPr>
        <w:pStyle w:val="306"/>
        <w:numPr>
          <w:ilvl w:val="0"/>
          <w:numId w:val="22"/>
        </w:numPr>
        <w:snapToGrid w:val="0"/>
        <w:spacing w:after="160" w:line="360" w:lineRule="auto"/>
        <w:ind w:firstLine="482" w:firstLineChars="0"/>
        <w:rPr>
          <w:rFonts w:hint="eastAsia" w:ascii="黑体" w:hAnsi="黑体" w:eastAsia="黑体" w:cs="黑体"/>
          <w:b/>
          <w:bCs/>
          <w:kern w:val="2"/>
          <w:sz w:val="24"/>
          <w:szCs w:val="32"/>
          <w:highlight w:val="none"/>
        </w:rPr>
      </w:pPr>
      <w:r>
        <w:rPr>
          <w:rFonts w:hint="eastAsia" w:ascii="黑体" w:hAnsi="黑体" w:eastAsia="黑体" w:cs="黑体"/>
          <w:b/>
          <w:bCs/>
          <w:kern w:val="2"/>
          <w:sz w:val="24"/>
          <w:szCs w:val="32"/>
          <w:highlight w:val="none"/>
        </w:rPr>
        <w:t>交付进度及时间：</w:t>
      </w:r>
    </w:p>
    <w:p>
      <w:pPr>
        <w:pStyle w:val="306"/>
        <w:snapToGrid w:val="0"/>
        <w:spacing w:after="160" w:line="360" w:lineRule="auto"/>
        <w:ind w:firstLine="0" w:firstLineChars="0"/>
        <w:rPr>
          <w:rFonts w:hint="eastAsia"/>
          <w:sz w:val="24"/>
          <w:highlight w:val="none"/>
        </w:rPr>
      </w:pPr>
      <w:r>
        <w:rPr>
          <w:rFonts w:hint="eastAsia" w:hAnsi="宋体"/>
          <w:sz w:val="24"/>
          <w:highlight w:val="none"/>
          <w:lang w:val="en-US"/>
        </w:rPr>
        <w:t>合同履行期限（</w:t>
      </w:r>
      <w:r>
        <w:rPr>
          <w:rFonts w:ascii="宋体" w:hAnsi="宋体"/>
          <w:sz w:val="24"/>
          <w:highlight w:val="none"/>
        </w:rPr>
        <w:t>交付时间</w:t>
      </w:r>
      <w:r>
        <w:rPr>
          <w:rFonts w:hint="eastAsia" w:hAnsi="宋体"/>
          <w:sz w:val="24"/>
          <w:highlight w:val="none"/>
          <w:lang w:val="en-US"/>
        </w:rPr>
        <w:t>）</w:t>
      </w:r>
      <w:r>
        <w:rPr>
          <w:rFonts w:ascii="宋体" w:hAnsi="宋体"/>
          <w:sz w:val="24"/>
          <w:highlight w:val="none"/>
        </w:rPr>
        <w:t>：</w:t>
      </w:r>
      <w:r>
        <w:rPr>
          <w:rFonts w:hint="eastAsia" w:hAnsi="宋体" w:cs="宋体"/>
          <w:sz w:val="24"/>
          <w:highlight w:val="none"/>
        </w:rPr>
        <w:t>以甲方通过换版认证为最终交付节点。</w:t>
      </w:r>
    </w:p>
    <w:p>
      <w:pPr>
        <w:rPr>
          <w:color w:val="auto"/>
          <w:highlight w:val="none"/>
        </w:rPr>
      </w:pPr>
      <w:r>
        <w:rPr>
          <w:rFonts w:ascii="宋体" w:hAnsi="宋体"/>
          <w:sz w:val="24"/>
          <w:highlight w:val="none"/>
        </w:rPr>
        <w:t>交付地点：</w:t>
      </w:r>
      <w:r>
        <w:rPr>
          <w:rFonts w:hint="eastAsia" w:hAnsi="宋体"/>
          <w:sz w:val="24"/>
          <w:highlight w:val="none"/>
        </w:rPr>
        <w:t>四川省绵阳市采购人指定地点</w:t>
      </w:r>
      <w:r>
        <w:rPr>
          <w:rFonts w:ascii="宋体" w:hAnsi="宋体"/>
          <w:sz w:val="24"/>
          <w:highlight w:val="none"/>
        </w:rPr>
        <w:t>。</w:t>
      </w:r>
      <w:r>
        <w:rPr>
          <w:color w:val="auto"/>
          <w:highlight w:val="none"/>
        </w:rPr>
        <w:br w:type="page"/>
      </w:r>
    </w:p>
    <w:p>
      <w:pPr>
        <w:pStyle w:val="2"/>
        <w:rPr>
          <w:color w:val="auto"/>
          <w:highlight w:val="none"/>
        </w:rPr>
      </w:pPr>
    </w:p>
    <w:p>
      <w:pPr>
        <w:rPr>
          <w:color w:val="auto"/>
          <w:highlight w:val="none"/>
        </w:rPr>
      </w:pPr>
    </w:p>
    <w:p>
      <w:pPr>
        <w:pStyle w:val="2"/>
        <w:rPr>
          <w:color w:val="auto"/>
          <w:highlight w:val="none"/>
        </w:rPr>
      </w:pPr>
    </w:p>
    <w:p>
      <w:pPr>
        <w:pStyle w:val="2"/>
        <w:rPr>
          <w:color w:val="auto"/>
          <w:highlight w:val="none"/>
        </w:rPr>
      </w:pPr>
    </w:p>
    <w:p>
      <w:pPr>
        <w:tabs>
          <w:tab w:val="left" w:pos="425"/>
          <w:tab w:val="left" w:pos="4265"/>
          <w:tab w:val="left" w:pos="5225"/>
        </w:tabs>
        <w:spacing w:line="360" w:lineRule="auto"/>
        <w:jc w:val="center"/>
        <w:outlineLvl w:val="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第五章响应文件格式</w:t>
      </w:r>
      <w:bookmarkEnd w:id="90"/>
    </w:p>
    <w:p>
      <w:pPr>
        <w:spacing w:line="360" w:lineRule="auto"/>
        <w:jc w:val="center"/>
        <w:rPr>
          <w:rFonts w:ascii="Times New Roman" w:hAnsi="Times New Roman"/>
          <w:b/>
          <w:bCs/>
          <w:color w:val="auto"/>
          <w:sz w:val="28"/>
          <w:szCs w:val="28"/>
          <w:highlight w:val="none"/>
        </w:rPr>
      </w:pPr>
    </w:p>
    <w:p>
      <w:pPr>
        <w:pStyle w:val="2"/>
        <w:rPr>
          <w:rFonts w:ascii="Times New Roman"/>
          <w:b/>
          <w:color w:val="auto"/>
          <w:sz w:val="32"/>
          <w:highlight w:val="none"/>
        </w:rPr>
        <w:sectPr>
          <w:headerReference r:id="rId7" w:type="default"/>
          <w:footerReference r:id="rId8" w:type="default"/>
          <w:pgSz w:w="11906" w:h="16838"/>
          <w:pgMar w:top="1134" w:right="1134" w:bottom="851" w:left="1474" w:header="851" w:footer="992" w:gutter="0"/>
          <w:cols w:space="720" w:num="1"/>
          <w:docGrid w:linePitch="312" w:charSpace="0"/>
        </w:sectPr>
      </w:pPr>
    </w:p>
    <w:p>
      <w:pPr>
        <w:pStyle w:val="2"/>
        <w:rPr>
          <w:rFonts w:ascii="Times New Roman"/>
          <w:b/>
          <w:color w:val="auto"/>
          <w:sz w:val="32"/>
          <w:highlight w:val="none"/>
        </w:rPr>
      </w:pPr>
    </w:p>
    <w:p>
      <w:pPr>
        <w:spacing w:line="360" w:lineRule="auto"/>
        <w:ind w:right="-473" w:rightChars="-139"/>
        <w:jc w:val="center"/>
        <w:rPr>
          <w:rFonts w:ascii="Times New Roman" w:hAnsi="Times New Roman"/>
          <w:b/>
          <w:color w:val="auto"/>
          <w:highlight w:val="none"/>
        </w:rPr>
      </w:pPr>
    </w:p>
    <w:p>
      <w:pPr>
        <w:jc w:val="right"/>
        <w:rPr>
          <w:rFonts w:ascii="Times New Roman" w:hAnsi="Times New Roman"/>
          <w:b/>
          <w:color w:val="auto"/>
          <w:sz w:val="36"/>
          <w:highlight w:val="none"/>
        </w:rPr>
      </w:pPr>
      <w:r>
        <w:rPr>
          <w:rFonts w:ascii="Times New Roman" w:hAnsi="Times New Roman"/>
          <w:b/>
          <w:color w:val="auto"/>
          <w:sz w:val="36"/>
          <w:highlight w:val="none"/>
        </w:rPr>
        <w:t>（正本/副本）</w:t>
      </w:r>
    </w:p>
    <w:p>
      <w:pPr>
        <w:rPr>
          <w:rFonts w:ascii="Times New Roman" w:hAnsi="Times New Roman"/>
          <w:b/>
          <w:color w:val="auto"/>
          <w:sz w:val="72"/>
          <w:highlight w:val="none"/>
        </w:rPr>
      </w:pPr>
    </w:p>
    <w:p>
      <w:pPr>
        <w:jc w:val="center"/>
        <w:rPr>
          <w:rFonts w:ascii="Times New Roman" w:hAnsi="Times New Roman"/>
          <w:b/>
          <w:color w:val="auto"/>
          <w:sz w:val="72"/>
          <w:highlight w:val="none"/>
        </w:rPr>
      </w:pPr>
      <w:r>
        <w:rPr>
          <w:rFonts w:ascii="Times New Roman" w:hAnsi="Times New Roman"/>
          <w:b/>
          <w:color w:val="auto"/>
          <w:sz w:val="40"/>
          <w:szCs w:val="48"/>
          <w:highlight w:val="none"/>
          <w:u w:val="single"/>
        </w:rPr>
        <w:t>XX</w:t>
      </w:r>
      <w:r>
        <w:rPr>
          <w:rFonts w:ascii="Times New Roman" w:hAnsi="Times New Roman"/>
          <w:b/>
          <w:color w:val="auto"/>
          <w:sz w:val="40"/>
          <w:szCs w:val="48"/>
          <w:highlight w:val="none"/>
        </w:rPr>
        <w:t>项目</w:t>
      </w:r>
    </w:p>
    <w:p>
      <w:pPr>
        <w:rPr>
          <w:rFonts w:ascii="Times New Roman" w:hAnsi="Times New Roman"/>
          <w:b/>
          <w:color w:val="auto"/>
          <w:sz w:val="52"/>
          <w:szCs w:val="52"/>
          <w:highlight w:val="none"/>
        </w:rPr>
      </w:pPr>
    </w:p>
    <w:p>
      <w:pPr>
        <w:jc w:val="center"/>
        <w:rPr>
          <w:rFonts w:ascii="Times New Roman" w:hAnsi="Times New Roman"/>
          <w:b/>
          <w:color w:val="auto"/>
          <w:sz w:val="32"/>
          <w:szCs w:val="32"/>
          <w:highlight w:val="none"/>
        </w:rPr>
      </w:pPr>
      <w:r>
        <w:rPr>
          <w:rFonts w:ascii="Times New Roman" w:hAnsi="Times New Roman"/>
          <w:b/>
          <w:color w:val="auto"/>
          <w:sz w:val="52"/>
          <w:szCs w:val="52"/>
          <w:highlight w:val="none"/>
        </w:rPr>
        <w:t>响 应 文 件</w:t>
      </w:r>
    </w:p>
    <w:p>
      <w:pPr>
        <w:rPr>
          <w:rFonts w:ascii="Times New Roman" w:hAnsi="Times New Roman"/>
          <w:b/>
          <w:color w:val="auto"/>
          <w:sz w:val="36"/>
          <w:highlight w:val="none"/>
        </w:rPr>
      </w:pPr>
    </w:p>
    <w:p>
      <w:pPr>
        <w:rPr>
          <w:rFonts w:ascii="Times New Roman" w:hAnsi="Times New Roman"/>
          <w:b/>
          <w:color w:val="auto"/>
          <w:sz w:val="36"/>
          <w:highlight w:val="none"/>
        </w:rPr>
      </w:pPr>
    </w:p>
    <w:p>
      <w:pPr>
        <w:ind w:firstLine="643" w:firstLineChars="200"/>
        <w:jc w:val="left"/>
        <w:rPr>
          <w:rFonts w:ascii="Times New Roman" w:hAnsi="Times New Roman"/>
          <w:b/>
          <w:color w:val="auto"/>
          <w:sz w:val="32"/>
          <w:highlight w:val="none"/>
          <w:u w:val="single"/>
        </w:rPr>
      </w:pPr>
      <w:r>
        <w:rPr>
          <w:rFonts w:ascii="Times New Roman" w:hAnsi="Times New Roman"/>
          <w:b/>
          <w:color w:val="auto"/>
          <w:sz w:val="32"/>
          <w:highlight w:val="none"/>
        </w:rPr>
        <w:t>供 应 商名称：</w:t>
      </w:r>
    </w:p>
    <w:p>
      <w:pPr>
        <w:ind w:firstLine="643" w:firstLineChars="200"/>
        <w:jc w:val="left"/>
        <w:rPr>
          <w:rFonts w:ascii="Times New Roman" w:hAnsi="Times New Roman"/>
          <w:b/>
          <w:color w:val="auto"/>
          <w:sz w:val="32"/>
          <w:highlight w:val="none"/>
          <w:u w:val="single"/>
        </w:rPr>
      </w:pPr>
      <w:r>
        <w:rPr>
          <w:rFonts w:ascii="Times New Roman" w:hAnsi="Times New Roman"/>
          <w:b/>
          <w:color w:val="auto"/>
          <w:sz w:val="32"/>
          <w:highlight w:val="none"/>
        </w:rPr>
        <w:t>采 购 编 号：</w:t>
      </w:r>
    </w:p>
    <w:p>
      <w:pPr>
        <w:ind w:firstLine="643" w:firstLineChars="200"/>
        <w:jc w:val="left"/>
        <w:rPr>
          <w:rFonts w:ascii="Times New Roman" w:hAnsi="Times New Roman"/>
          <w:b/>
          <w:color w:val="auto"/>
          <w:sz w:val="32"/>
          <w:highlight w:val="none"/>
          <w:u w:val="single"/>
        </w:rPr>
      </w:pPr>
      <w:r>
        <w:rPr>
          <w:rFonts w:ascii="Times New Roman" w:hAnsi="Times New Roman"/>
          <w:b/>
          <w:color w:val="auto"/>
          <w:sz w:val="32"/>
          <w:highlight w:val="none"/>
        </w:rPr>
        <w:t>包号及名称（如有）：</w:t>
      </w:r>
    </w:p>
    <w:p>
      <w:pPr>
        <w:jc w:val="center"/>
        <w:rPr>
          <w:rFonts w:ascii="Times New Roman" w:hAnsi="Times New Roman"/>
          <w:b/>
          <w:color w:val="auto"/>
          <w:sz w:val="36"/>
          <w:highlight w:val="none"/>
        </w:rPr>
      </w:pPr>
    </w:p>
    <w:p>
      <w:pPr>
        <w:jc w:val="center"/>
        <w:rPr>
          <w:rFonts w:ascii="Times New Roman" w:hAnsi="Times New Roman"/>
          <w:b/>
          <w:color w:val="auto"/>
          <w:sz w:val="36"/>
          <w:highlight w:val="none"/>
        </w:rPr>
      </w:pPr>
    </w:p>
    <w:p>
      <w:pPr>
        <w:jc w:val="center"/>
        <w:rPr>
          <w:rFonts w:ascii="Times New Roman" w:hAnsi="Times New Roman"/>
          <w:b/>
          <w:color w:val="auto"/>
          <w:sz w:val="36"/>
          <w:highlight w:val="none"/>
        </w:rPr>
      </w:pPr>
    </w:p>
    <w:p>
      <w:pPr>
        <w:jc w:val="center"/>
        <w:rPr>
          <w:rFonts w:ascii="Times New Roman" w:hAnsi="Times New Roman"/>
          <w:b/>
          <w:bCs/>
          <w:color w:val="auto"/>
          <w:sz w:val="32"/>
          <w:szCs w:val="32"/>
          <w:highlight w:val="none"/>
        </w:rPr>
      </w:pPr>
      <w:r>
        <w:rPr>
          <w:rFonts w:ascii="Times New Roman" w:hAnsi="Times New Roman"/>
          <w:b/>
          <w:color w:val="auto"/>
          <w:sz w:val="32"/>
          <w:highlight w:val="none"/>
        </w:rPr>
        <w:t>日期：202</w:t>
      </w:r>
      <w:r>
        <w:rPr>
          <w:rFonts w:hint="eastAsia" w:ascii="Times New Roman" w:hAnsi="Times New Roman"/>
          <w:b/>
          <w:color w:val="auto"/>
          <w:sz w:val="32"/>
          <w:highlight w:val="none"/>
          <w:lang w:val="en-US" w:eastAsia="zh-CN"/>
        </w:rPr>
        <w:t>2</w:t>
      </w:r>
      <w:r>
        <w:rPr>
          <w:rFonts w:ascii="Times New Roman" w:hAnsi="Times New Roman"/>
          <w:b/>
          <w:color w:val="auto"/>
          <w:sz w:val="32"/>
          <w:highlight w:val="none"/>
        </w:rPr>
        <w:t>年XX月XX日</w:t>
      </w:r>
    </w:p>
    <w:p>
      <w:pPr>
        <w:spacing w:line="360" w:lineRule="auto"/>
        <w:jc w:val="center"/>
        <w:rPr>
          <w:rFonts w:ascii="Times New Roman" w:hAnsi="Times New Roman"/>
          <w:b/>
          <w:color w:val="auto"/>
          <w:sz w:val="28"/>
          <w:szCs w:val="28"/>
          <w:highlight w:val="none"/>
        </w:rPr>
      </w:pPr>
    </w:p>
    <w:p>
      <w:pPr>
        <w:rPr>
          <w:rFonts w:ascii="Times New Roman" w:hAnsi="Times New Roman"/>
          <w:b/>
          <w:color w:val="auto"/>
          <w:sz w:val="28"/>
          <w:szCs w:val="28"/>
          <w:highlight w:val="none"/>
        </w:rPr>
      </w:pPr>
      <w:r>
        <w:rPr>
          <w:rFonts w:ascii="Times New Roman" w:hAnsi="Times New Roman"/>
          <w:b/>
          <w:color w:val="auto"/>
          <w:sz w:val="28"/>
          <w:szCs w:val="28"/>
          <w:highlight w:val="none"/>
        </w:rPr>
        <w:br w:type="page"/>
      </w:r>
    </w:p>
    <w:p>
      <w:pPr>
        <w:spacing w:line="360" w:lineRule="auto"/>
        <w:jc w:val="center"/>
        <w:outlineLvl w:val="1"/>
        <w:rPr>
          <w:rFonts w:ascii="Times New Roman" w:hAnsi="Times New Roman"/>
          <w:color w:val="auto"/>
          <w:highlight w:val="none"/>
        </w:rPr>
      </w:pPr>
      <w:bookmarkStart w:id="107" w:name="_Toc4007"/>
      <w:r>
        <w:rPr>
          <w:rFonts w:ascii="Times New Roman" w:hAnsi="Times New Roman"/>
          <w:b/>
          <w:color w:val="auto"/>
          <w:sz w:val="28"/>
          <w:szCs w:val="28"/>
          <w:highlight w:val="none"/>
        </w:rPr>
        <w:t>一、供应商的资格证明文件</w:t>
      </w:r>
      <w:bookmarkEnd w:id="107"/>
    </w:p>
    <w:p>
      <w:pPr>
        <w:spacing w:line="360" w:lineRule="auto"/>
        <w:rPr>
          <w:rFonts w:ascii="Times New Roman" w:hAnsi="Times New Roman"/>
          <w:b/>
          <w:color w:val="auto"/>
          <w:sz w:val="24"/>
          <w:szCs w:val="24"/>
          <w:highlight w:val="none"/>
        </w:rPr>
      </w:pPr>
    </w:p>
    <w:p>
      <w:pPr>
        <w:spacing w:line="360" w:lineRule="auto"/>
        <w:outlineLvl w:val="2"/>
        <w:rPr>
          <w:rFonts w:ascii="Times New Roman" w:hAnsi="Times New Roman"/>
          <w:b/>
          <w:color w:val="auto"/>
          <w:sz w:val="24"/>
          <w:szCs w:val="24"/>
          <w:highlight w:val="none"/>
        </w:rPr>
      </w:pPr>
      <w:r>
        <w:rPr>
          <w:rFonts w:ascii="Times New Roman" w:hAnsi="Times New Roman"/>
          <w:b/>
          <w:color w:val="auto"/>
          <w:sz w:val="24"/>
          <w:szCs w:val="24"/>
          <w:highlight w:val="none"/>
        </w:rPr>
        <w:t>附件1-1</w:t>
      </w:r>
    </w:p>
    <w:p>
      <w:pPr>
        <w:spacing w:line="360" w:lineRule="auto"/>
        <w:rPr>
          <w:rFonts w:ascii="Times New Roman" w:hAnsi="Times New Roman"/>
          <w:b/>
          <w:color w:val="auto"/>
          <w:sz w:val="24"/>
          <w:szCs w:val="24"/>
          <w:highlight w:val="none"/>
        </w:rPr>
      </w:pPr>
    </w:p>
    <w:p>
      <w:pPr>
        <w:pStyle w:val="2"/>
        <w:spacing w:line="360" w:lineRule="auto"/>
        <w:rPr>
          <w:rFonts w:ascii="Times New Roman" w:eastAsia="黑体"/>
          <w:color w:val="auto"/>
          <w:sz w:val="24"/>
          <w:szCs w:val="15"/>
          <w:highlight w:val="none"/>
        </w:rPr>
      </w:pPr>
      <w:r>
        <w:rPr>
          <w:rFonts w:ascii="Times New Roman"/>
          <w:b/>
          <w:color w:val="auto"/>
          <w:sz w:val="24"/>
          <w:highlight w:val="none"/>
        </w:rPr>
        <w:t>具有独立承担民事责任的能力。</w:t>
      </w:r>
      <w:r>
        <w:rPr>
          <w:rFonts w:ascii="Times New Roman"/>
          <w:color w:val="auto"/>
          <w:sz w:val="24"/>
          <w:highlight w:val="none"/>
        </w:rPr>
        <w:t>（注：</w:t>
      </w:r>
      <w:r>
        <w:rPr>
          <w:rFonts w:hint="eastAsia" w:hAnsi="宋体" w:cs="宋体"/>
          <w:color w:val="auto"/>
          <w:sz w:val="24"/>
          <w:highlight w:val="none"/>
        </w:rPr>
        <w:t>①</w:t>
      </w:r>
      <w:r>
        <w:rPr>
          <w:rFonts w:ascii="Times New Roman"/>
          <w:color w:val="auto"/>
          <w:sz w:val="24"/>
          <w:highlight w:val="none"/>
        </w:rPr>
        <w:t>供应商是企业（包括合伙企业）的，应提供其在工商部门注册的有效“营业执照”或“企业法人营业执照”复印件；</w:t>
      </w:r>
      <w:r>
        <w:rPr>
          <w:rFonts w:hint="eastAsia" w:hAnsi="宋体" w:cs="宋体"/>
          <w:color w:val="auto"/>
          <w:sz w:val="24"/>
          <w:highlight w:val="none"/>
        </w:rPr>
        <w:t>②</w:t>
      </w:r>
      <w:r>
        <w:rPr>
          <w:rFonts w:ascii="Times New Roman"/>
          <w:color w:val="auto"/>
          <w:sz w:val="24"/>
          <w:highlight w:val="none"/>
        </w:rPr>
        <w:t>供应商是事业单位的，应提供其有效的“事业单位法人证书”复印件；</w:t>
      </w:r>
      <w:r>
        <w:rPr>
          <w:rFonts w:hint="eastAsia" w:hAnsi="宋体" w:cs="宋体"/>
          <w:color w:val="auto"/>
          <w:sz w:val="24"/>
          <w:highlight w:val="none"/>
        </w:rPr>
        <w:t>③</w:t>
      </w:r>
      <w:r>
        <w:rPr>
          <w:rFonts w:ascii="Times New Roman"/>
          <w:color w:val="auto"/>
          <w:sz w:val="24"/>
          <w:highlight w:val="none"/>
        </w:rPr>
        <w:t>供应商是非企业专业服务机构的，应提供其有效的“执业许可证”复印件；</w:t>
      </w:r>
      <w:r>
        <w:rPr>
          <w:rFonts w:hint="eastAsia" w:hAnsi="宋体" w:cs="宋体"/>
          <w:color w:val="auto"/>
          <w:sz w:val="24"/>
          <w:highlight w:val="none"/>
        </w:rPr>
        <w:t>④</w:t>
      </w:r>
      <w:r>
        <w:rPr>
          <w:rFonts w:ascii="Times New Roman"/>
          <w:color w:val="auto"/>
          <w:sz w:val="24"/>
          <w:highlight w:val="none"/>
        </w:rPr>
        <w:t>供应商是民办非企业单位的，应提供其有效的登记证书复印件；</w:t>
      </w:r>
      <w:r>
        <w:rPr>
          <w:rFonts w:hint="eastAsia" w:hAnsi="宋体" w:cs="宋体"/>
          <w:color w:val="auto"/>
          <w:sz w:val="24"/>
          <w:highlight w:val="none"/>
        </w:rPr>
        <w:t>⑤</w:t>
      </w:r>
      <w:r>
        <w:rPr>
          <w:rFonts w:ascii="Times New Roman"/>
          <w:color w:val="auto"/>
          <w:sz w:val="24"/>
          <w:highlight w:val="none"/>
        </w:rPr>
        <w:t>供应商是个体工商户的，应提供其有效的“个体工商户营业执照”复印件；</w:t>
      </w:r>
      <w:r>
        <w:rPr>
          <w:rFonts w:hint="eastAsia" w:hAnsi="宋体" w:cs="宋体"/>
          <w:color w:val="auto"/>
          <w:sz w:val="24"/>
          <w:highlight w:val="none"/>
        </w:rPr>
        <w:t>⑥</w:t>
      </w:r>
      <w:r>
        <w:rPr>
          <w:rFonts w:ascii="Times New Roman"/>
          <w:color w:val="auto"/>
          <w:sz w:val="24"/>
          <w:highlight w:val="none"/>
        </w:rPr>
        <w:t>供应商是自然人的，应提供其有效的自然人身份证明复印件。以上均提供复印件。）</w:t>
      </w:r>
    </w:p>
    <w:p>
      <w:pPr>
        <w:spacing w:line="360" w:lineRule="auto"/>
        <w:rPr>
          <w:rFonts w:ascii="Times New Roman" w:hAnsi="Times New Roman"/>
          <w:b/>
          <w:color w:val="auto"/>
          <w:sz w:val="24"/>
          <w:szCs w:val="24"/>
          <w:highlight w:val="none"/>
        </w:rPr>
        <w:sectPr>
          <w:pgSz w:w="11906" w:h="16838"/>
          <w:pgMar w:top="1134" w:right="1134" w:bottom="851" w:left="1474" w:header="851" w:footer="992" w:gutter="0"/>
          <w:cols w:space="720" w:num="1"/>
          <w:docGrid w:linePitch="312" w:charSpace="0"/>
        </w:sectPr>
      </w:pPr>
    </w:p>
    <w:p>
      <w:pPr>
        <w:spacing w:line="360" w:lineRule="auto"/>
        <w:outlineLvl w:val="2"/>
        <w:rPr>
          <w:rFonts w:ascii="Times New Roman" w:hAnsi="Times New Roman"/>
          <w:b/>
          <w:color w:val="auto"/>
          <w:sz w:val="24"/>
          <w:szCs w:val="24"/>
          <w:highlight w:val="none"/>
        </w:rPr>
      </w:pPr>
      <w:r>
        <w:rPr>
          <w:rFonts w:ascii="Times New Roman" w:hAnsi="Times New Roman"/>
          <w:b/>
          <w:color w:val="auto"/>
          <w:sz w:val="24"/>
          <w:szCs w:val="24"/>
          <w:highlight w:val="none"/>
        </w:rPr>
        <w:t>附件1-2</w:t>
      </w:r>
    </w:p>
    <w:p>
      <w:pPr>
        <w:spacing w:line="360" w:lineRule="auto"/>
        <w:rPr>
          <w:rFonts w:ascii="Times New Roman" w:hAnsi="Times New Roman"/>
          <w:b/>
          <w:color w:val="auto"/>
          <w:sz w:val="24"/>
          <w:szCs w:val="24"/>
          <w:highlight w:val="none"/>
        </w:rPr>
      </w:pPr>
    </w:p>
    <w:p>
      <w:pPr>
        <w:spacing w:line="360" w:lineRule="auto"/>
        <w:jc w:val="center"/>
        <w:rPr>
          <w:rFonts w:ascii="Times New Roman" w:hAnsi="Times New Roman"/>
          <w:color w:val="auto"/>
          <w:sz w:val="24"/>
          <w:szCs w:val="24"/>
          <w:highlight w:val="none"/>
        </w:rPr>
      </w:pPr>
      <w:r>
        <w:rPr>
          <w:rFonts w:ascii="Times New Roman" w:hAnsi="Times New Roman"/>
          <w:b/>
          <w:color w:val="auto"/>
          <w:sz w:val="24"/>
          <w:szCs w:val="24"/>
          <w:highlight w:val="none"/>
        </w:rPr>
        <w:t>关于资格的声明函</w:t>
      </w:r>
    </w:p>
    <w:p>
      <w:pPr>
        <w:spacing w:line="360" w:lineRule="auto"/>
        <w:jc w:val="center"/>
        <w:rPr>
          <w:rFonts w:ascii="Times New Roman" w:hAnsi="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 xml:space="preserve">中化商务有限公司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olor w:val="auto"/>
          <w:sz w:val="24"/>
          <w:szCs w:val="24"/>
          <w:highlight w:val="none"/>
        </w:rPr>
      </w:pPr>
      <w:r>
        <w:rPr>
          <w:rFonts w:ascii="Times New Roman" w:hAnsi="Times New Roman"/>
          <w:color w:val="auto"/>
          <w:sz w:val="24"/>
          <w:szCs w:val="24"/>
          <w:highlight w:val="none"/>
        </w:rPr>
        <w:t>关于贵方  年  月  日</w:t>
      </w:r>
      <w:r>
        <w:rPr>
          <w:rFonts w:ascii="Times New Roman" w:hAnsi="Times New Roman"/>
          <w:color w:val="auto"/>
          <w:sz w:val="24"/>
          <w:szCs w:val="24"/>
          <w:highlight w:val="none"/>
          <w:u w:val="single"/>
        </w:rPr>
        <w:t>XXX项目（项目编号：XXX）</w:t>
      </w:r>
      <w:r>
        <w:rPr>
          <w:rFonts w:ascii="Times New Roman" w:hAnsi="Times New Roman"/>
          <w:color w:val="auto"/>
          <w:sz w:val="24"/>
          <w:szCs w:val="24"/>
          <w:highlight w:val="none"/>
        </w:rPr>
        <w:t>的磋商邀请，本签字人愿意参加磋商，提供响应文件，本签字人确认响应文件中所有提交的文件和材料是真实的、准确的。我单位仔细阅读本项目供应商须知总则3.合格的供应商资格条件，我单位系合格的供应商。</w:t>
      </w:r>
    </w:p>
    <w:p>
      <w:pPr>
        <w:spacing w:line="360" w:lineRule="auto"/>
        <w:rPr>
          <w:rFonts w:ascii="Times New Roman" w:hAnsi="Times New Roman"/>
          <w:bCs/>
          <w:color w:val="auto"/>
          <w:sz w:val="24"/>
          <w:szCs w:val="24"/>
          <w:highlight w:val="none"/>
        </w:rPr>
      </w:pPr>
    </w:p>
    <w:p>
      <w:pPr>
        <w:spacing w:line="360" w:lineRule="auto"/>
        <w:rPr>
          <w:rFonts w:ascii="Times New Roman" w:hAnsi="Times New Roman"/>
          <w:color w:val="auto"/>
          <w:sz w:val="24"/>
          <w:szCs w:val="24"/>
          <w:highlight w:val="none"/>
        </w:rPr>
      </w:pPr>
    </w:p>
    <w:p>
      <w:pPr>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w:t>
      </w:r>
      <w:r>
        <w:rPr>
          <w:rFonts w:ascii="Times New Roman" w:hAnsi="Times New Roman"/>
          <w:color w:val="auto"/>
          <w:sz w:val="24"/>
          <w:szCs w:val="24"/>
          <w:highlight w:val="none"/>
          <w:u w:val="single"/>
        </w:rPr>
        <w:t>（全称并加盖公章）</w:t>
      </w:r>
    </w:p>
    <w:p>
      <w:pPr>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法定代表人或授权代表（签字/签章）</w:t>
      </w:r>
      <w:r>
        <w:rPr>
          <w:rFonts w:ascii="Times New Roman" w:hAnsi="Times New Roman"/>
          <w:bCs/>
          <w:color w:val="auto"/>
          <w:sz w:val="24"/>
          <w:szCs w:val="24"/>
          <w:highlight w:val="none"/>
        </w:rPr>
        <w:t>：</w:t>
      </w:r>
    </w:p>
    <w:p>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日期：</w:t>
      </w:r>
    </w:p>
    <w:p>
      <w:pPr>
        <w:spacing w:line="360" w:lineRule="auto"/>
        <w:rPr>
          <w:rFonts w:ascii="Times New Roman" w:hAnsi="Times New Roman"/>
          <w:b/>
          <w:color w:val="auto"/>
          <w:sz w:val="24"/>
          <w:szCs w:val="24"/>
          <w:highlight w:val="none"/>
        </w:rPr>
      </w:pPr>
    </w:p>
    <w:p>
      <w:pPr>
        <w:spacing w:line="360" w:lineRule="auto"/>
        <w:rPr>
          <w:rFonts w:ascii="Times New Roman" w:hAnsi="Times New Roman"/>
          <w:b/>
          <w:color w:val="auto"/>
          <w:sz w:val="24"/>
          <w:szCs w:val="24"/>
          <w:highlight w:val="none"/>
        </w:rPr>
      </w:pPr>
    </w:p>
    <w:p>
      <w:pPr>
        <w:spacing w:line="360" w:lineRule="auto"/>
        <w:outlineLvl w:val="2"/>
        <w:rPr>
          <w:rFonts w:ascii="Times New Roman" w:hAnsi="Times New Roman"/>
          <w:b/>
          <w:color w:val="auto"/>
          <w:sz w:val="24"/>
          <w:szCs w:val="24"/>
          <w:highlight w:val="none"/>
        </w:rPr>
      </w:pPr>
      <w:r>
        <w:rPr>
          <w:rFonts w:ascii="Times New Roman" w:hAnsi="Times New Roman"/>
          <w:b/>
          <w:color w:val="auto"/>
          <w:sz w:val="24"/>
          <w:szCs w:val="24"/>
          <w:highlight w:val="none"/>
        </w:rPr>
        <w:br w:type="page"/>
      </w:r>
      <w:r>
        <w:rPr>
          <w:rFonts w:ascii="Times New Roman" w:hAnsi="Times New Roman"/>
          <w:b/>
          <w:color w:val="auto"/>
          <w:sz w:val="24"/>
          <w:szCs w:val="24"/>
          <w:highlight w:val="none"/>
        </w:rPr>
        <w:t>附件1-3</w:t>
      </w:r>
    </w:p>
    <w:p>
      <w:pPr>
        <w:spacing w:line="360" w:lineRule="auto"/>
        <w:ind w:right="480"/>
        <w:jc w:val="center"/>
        <w:rPr>
          <w:rFonts w:ascii="Times New Roman" w:hAnsi="Times New Roman"/>
          <w:color w:val="auto"/>
          <w:sz w:val="24"/>
          <w:szCs w:val="24"/>
          <w:highlight w:val="none"/>
        </w:rPr>
      </w:pPr>
      <w:r>
        <w:rPr>
          <w:rFonts w:ascii="Times New Roman" w:hAnsi="Times New Roman"/>
          <w:b/>
          <w:color w:val="auto"/>
          <w:sz w:val="24"/>
          <w:szCs w:val="24"/>
          <w:highlight w:val="none"/>
        </w:rPr>
        <w:t>法定代表人授权书</w:t>
      </w:r>
    </w:p>
    <w:p>
      <w:pPr>
        <w:pStyle w:val="242"/>
        <w:tabs>
          <w:tab w:val="clear" w:pos="1740"/>
        </w:tabs>
        <w:adjustRightInd/>
        <w:spacing w:before="0" w:line="360" w:lineRule="auto"/>
        <w:ind w:left="0" w:firstLine="0"/>
        <w:outlineLvl w:val="9"/>
        <w:rPr>
          <w:rFonts w:ascii="Times New Roman" w:hAnsi="Times New Roman" w:eastAsia="宋体"/>
          <w:color w:val="auto"/>
          <w:sz w:val="24"/>
          <w:szCs w:val="24"/>
          <w:highlight w:val="none"/>
        </w:rPr>
      </w:pPr>
    </w:p>
    <w:p>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中化商务有限公司</w:t>
      </w:r>
    </w:p>
    <w:p>
      <w:pPr>
        <w:pStyle w:val="25"/>
        <w:snapToGrid w:val="0"/>
        <w:ind w:firstLine="480" w:firstLineChars="200"/>
        <w:jc w:val="left"/>
        <w:rPr>
          <w:rFonts w:ascii="Times New Roman" w:hAnsi="Times New Roman"/>
          <w:color w:val="auto"/>
          <w:highlight w:val="none"/>
        </w:rPr>
      </w:pPr>
      <w:r>
        <w:rPr>
          <w:rFonts w:ascii="Times New Roman" w:hAnsi="Times New Roman"/>
          <w:color w:val="auto"/>
          <w:highlight w:val="none"/>
          <w:u w:val="single"/>
        </w:rPr>
        <w:t>（供应商全称）</w:t>
      </w:r>
      <w:r>
        <w:rPr>
          <w:rFonts w:ascii="Times New Roman" w:hAnsi="Times New Roman"/>
          <w:color w:val="auto"/>
          <w:highlight w:val="none"/>
        </w:rPr>
        <w:t>法定代表人</w:t>
      </w:r>
      <w:r>
        <w:rPr>
          <w:rFonts w:ascii="Times New Roman" w:hAnsi="Times New Roman"/>
          <w:color w:val="auto"/>
          <w:highlight w:val="none"/>
          <w:u w:val="single"/>
        </w:rPr>
        <w:t xml:space="preserve">    （法定代表人姓名）  </w:t>
      </w:r>
      <w:r>
        <w:rPr>
          <w:rFonts w:ascii="Times New Roman" w:hAnsi="Times New Roman"/>
          <w:color w:val="auto"/>
          <w:highlight w:val="none"/>
        </w:rPr>
        <w:t>授权</w:t>
      </w:r>
      <w:r>
        <w:rPr>
          <w:rFonts w:ascii="Times New Roman" w:hAnsi="Times New Roman"/>
          <w:color w:val="auto"/>
          <w:highlight w:val="none"/>
          <w:u w:val="single"/>
        </w:rPr>
        <w:t xml:space="preserve">  （授权代表姓名）</w:t>
      </w:r>
      <w:r>
        <w:rPr>
          <w:rFonts w:ascii="Times New Roman" w:hAnsi="Times New Roman"/>
          <w:color w:val="auto"/>
          <w:highlight w:val="none"/>
        </w:rPr>
        <w:t>为授权代表，代表本公司参加贵司组织的</w:t>
      </w:r>
      <w:r>
        <w:rPr>
          <w:rFonts w:ascii="Times New Roman" w:hAnsi="Times New Roman"/>
          <w:color w:val="auto"/>
          <w:highlight w:val="none"/>
          <w:u w:val="single"/>
        </w:rPr>
        <w:t xml:space="preserve">       （项目名称）    </w:t>
      </w:r>
      <w:r>
        <w:rPr>
          <w:rFonts w:ascii="Times New Roman" w:hAnsi="Times New Roman"/>
          <w:color w:val="auto"/>
          <w:highlight w:val="none"/>
        </w:rPr>
        <w:t>项目</w:t>
      </w:r>
      <w:r>
        <w:rPr>
          <w:rFonts w:ascii="Times New Roman" w:hAnsi="Times New Roman"/>
          <w:color w:val="auto"/>
          <w:highlight w:val="none"/>
          <w:u w:val="single"/>
        </w:rPr>
        <w:t>（项目编号：）</w:t>
      </w:r>
      <w:r>
        <w:rPr>
          <w:rFonts w:ascii="Times New Roman" w:hAnsi="Times New Roman"/>
          <w:color w:val="auto"/>
          <w:highlight w:val="none"/>
        </w:rPr>
        <w:t>的磋商活动，全权代表本公司处理响应过程的一切事宜，包括但不限于：响应、参与磋商、报价、签约等。授权代表在磋商过程中所签署的一切文件和处理与之有关的一切事务，本公司均予以认可并对此承担责任。授权代表无转委托权。</w:t>
      </w:r>
    </w:p>
    <w:p>
      <w:pPr>
        <w:pStyle w:val="25"/>
        <w:snapToGrid w:val="0"/>
        <w:ind w:firstLine="480" w:firstLineChars="200"/>
        <w:jc w:val="left"/>
        <w:rPr>
          <w:rFonts w:ascii="Times New Roman" w:hAnsi="Times New Roman"/>
          <w:color w:val="auto"/>
          <w:highlight w:val="none"/>
        </w:rPr>
      </w:pPr>
      <w:r>
        <w:rPr>
          <w:rFonts w:ascii="Times New Roman" w:hAnsi="Times New Roman"/>
          <w:color w:val="auto"/>
          <w:highlight w:val="none"/>
        </w:rPr>
        <w:t>特此授权！本授权书自出具之日起生效。</w:t>
      </w:r>
    </w:p>
    <w:p>
      <w:pPr>
        <w:spacing w:line="360" w:lineRule="auto"/>
        <w:rPr>
          <w:rFonts w:ascii="Times New Roman" w:hAnsi="Times New Roman"/>
          <w:color w:val="auto"/>
          <w:sz w:val="24"/>
          <w:szCs w:val="24"/>
          <w:highlight w:val="none"/>
        </w:rPr>
      </w:pPr>
    </w:p>
    <w:p>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法定代表人：              性别：                  身份证号：</w:t>
      </w:r>
    </w:p>
    <w:p>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授权代表：                性别：                  身份证号：</w:t>
      </w:r>
    </w:p>
    <w:p>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单位：                    部门：                  职务：</w:t>
      </w:r>
    </w:p>
    <w:p>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详细通讯地址：            邮政编码:               电话：</w:t>
      </w:r>
    </w:p>
    <w:p>
      <w:pPr>
        <w:spacing w:line="360" w:lineRule="auto"/>
        <w:rPr>
          <w:rFonts w:ascii="Times New Roman" w:hAnsi="Times New Roman"/>
          <w:color w:val="auto"/>
          <w:sz w:val="24"/>
          <w:szCs w:val="24"/>
          <w:highlight w:val="none"/>
        </w:rPr>
      </w:pPr>
    </w:p>
    <w:p>
      <w:pPr>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w:t>
      </w:r>
      <w:r>
        <w:rPr>
          <w:rFonts w:ascii="Times New Roman" w:hAnsi="Times New Roman"/>
          <w:color w:val="auto"/>
          <w:sz w:val="24"/>
          <w:szCs w:val="24"/>
          <w:highlight w:val="none"/>
          <w:u w:val="single"/>
        </w:rPr>
        <w:t>（全称并加盖公章）</w:t>
      </w:r>
    </w:p>
    <w:p>
      <w:pPr>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法定代表人（签字或签章）</w:t>
      </w:r>
      <w:r>
        <w:rPr>
          <w:rFonts w:ascii="Times New Roman" w:hAnsi="Times New Roman"/>
          <w:bCs/>
          <w:color w:val="auto"/>
          <w:sz w:val="24"/>
          <w:szCs w:val="24"/>
          <w:highlight w:val="none"/>
        </w:rPr>
        <w:t>：</w:t>
      </w:r>
    </w:p>
    <w:p>
      <w:pPr>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授权代表（签字或签章）</w:t>
      </w:r>
      <w:r>
        <w:rPr>
          <w:rFonts w:ascii="Times New Roman" w:hAnsi="Times New Roman"/>
          <w:bCs/>
          <w:color w:val="auto"/>
          <w:sz w:val="24"/>
          <w:szCs w:val="24"/>
          <w:highlight w:val="none"/>
        </w:rPr>
        <w:t>：</w:t>
      </w:r>
    </w:p>
    <w:p>
      <w:pPr>
        <w:tabs>
          <w:tab w:val="left" w:pos="420"/>
          <w:tab w:val="left" w:pos="1134"/>
        </w:tabs>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日期：</w:t>
      </w:r>
    </w:p>
    <w:p>
      <w:pPr>
        <w:tabs>
          <w:tab w:val="left" w:pos="420"/>
          <w:tab w:val="left" w:pos="1134"/>
        </w:tabs>
        <w:spacing w:line="360" w:lineRule="auto"/>
        <w:rPr>
          <w:rFonts w:ascii="Times New Roman" w:hAnsi="Times New Roman"/>
          <w:color w:val="auto"/>
          <w:sz w:val="24"/>
          <w:szCs w:val="24"/>
          <w:highlight w:val="none"/>
        </w:rPr>
      </w:pPr>
    </w:p>
    <w:p>
      <w:pPr>
        <w:pStyle w:val="2"/>
        <w:rPr>
          <w:rFonts w:ascii="Times New Roman"/>
          <w:color w:val="auto"/>
          <w:sz w:val="24"/>
          <w:szCs w:val="24"/>
          <w:highlight w:val="none"/>
        </w:rPr>
      </w:pPr>
    </w:p>
    <w:p>
      <w:pPr>
        <w:rPr>
          <w:rFonts w:ascii="Times New Roman" w:hAnsi="Times New Roman"/>
          <w:color w:val="auto"/>
          <w:sz w:val="24"/>
          <w:szCs w:val="24"/>
          <w:highlight w:val="none"/>
        </w:rPr>
      </w:pPr>
    </w:p>
    <w:p>
      <w:pPr>
        <w:rPr>
          <w:rFonts w:ascii="Times New Roman" w:hAnsi="Times New Roman" w:eastAsia="黑体"/>
          <w:b/>
          <w:color w:val="auto"/>
          <w:sz w:val="32"/>
          <w:szCs w:val="32"/>
          <w:highlight w:val="none"/>
        </w:rPr>
      </w:pPr>
      <w:r>
        <w:rPr>
          <w:rFonts w:ascii="Times New Roman" w:hAnsi="Times New Roman" w:eastAsia="黑体"/>
          <w:b/>
          <w:color w:val="auto"/>
          <w:sz w:val="32"/>
          <w:szCs w:val="32"/>
          <w:highlight w:val="none"/>
        </w:rPr>
        <w:br w:type="page"/>
      </w:r>
    </w:p>
    <w:p>
      <w:pPr>
        <w:spacing w:line="360" w:lineRule="auto"/>
        <w:jc w:val="center"/>
        <w:rPr>
          <w:rFonts w:ascii="Times New Roman" w:hAnsi="Times New Roman" w:eastAsia="黑体"/>
          <w:b/>
          <w:color w:val="auto"/>
          <w:sz w:val="32"/>
          <w:szCs w:val="32"/>
          <w:highlight w:val="none"/>
        </w:rPr>
      </w:pPr>
      <w:r>
        <w:rPr>
          <w:rFonts w:ascii="Times New Roman" w:hAnsi="Times New Roman" w:eastAsia="黑体"/>
          <w:b/>
          <w:color w:val="auto"/>
          <w:sz w:val="32"/>
          <w:szCs w:val="32"/>
          <w:highlight w:val="none"/>
        </w:rPr>
        <w:t>法定代表人/单位负责人身份证明材料复印件</w:t>
      </w:r>
    </w:p>
    <w:p>
      <w:pPr>
        <w:pStyle w:val="2"/>
        <w:rPr>
          <w:rFonts w:ascii="Times New Roman" w:eastAsia="黑体"/>
          <w:b/>
          <w:color w:val="auto"/>
          <w:sz w:val="32"/>
          <w:szCs w:val="32"/>
          <w:highlight w:val="none"/>
        </w:rPr>
      </w:pPr>
    </w:p>
    <w:p>
      <w:pPr>
        <w:rPr>
          <w:rFonts w:ascii="Times New Roman" w:hAnsi="Times New Roman" w:eastAsia="黑体"/>
          <w:b/>
          <w:color w:val="auto"/>
          <w:sz w:val="32"/>
          <w:szCs w:val="32"/>
          <w:highlight w:val="none"/>
        </w:rPr>
      </w:pPr>
    </w:p>
    <w:p>
      <w:pPr>
        <w:spacing w:line="572" w:lineRule="exact"/>
        <w:ind w:firstLine="680" w:firstLineChars="200"/>
        <w:rPr>
          <w:rFonts w:ascii="Times New Roman" w:hAnsi="Times New Roman" w:eastAsia="仿宋_GB2312"/>
          <w:color w:val="auto"/>
          <w:szCs w:val="32"/>
          <w:highlight w:val="none"/>
        </w:rPr>
      </w:pPr>
      <w:r>
        <w:rPr>
          <w:rFonts w:ascii="Times New Roman" w:hAnsi="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2875915</wp:posOffset>
                </wp:positionH>
                <wp:positionV relativeFrom="paragraph">
                  <wp:posOffset>79375</wp:posOffset>
                </wp:positionV>
                <wp:extent cx="2240915" cy="1254760"/>
                <wp:effectExtent l="4445" t="4445" r="21590" b="17145"/>
                <wp:wrapNone/>
                <wp:docPr id="3" name="Text Box 17"/>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pPr>
                          </w:p>
                          <w:p>
                            <w:pPr>
                              <w:jc w:val="center"/>
                              <w:rPr>
                                <w:rFonts w:ascii="仿宋_GB2312" w:hAnsi="宋体" w:eastAsia="仿宋_GB2312"/>
                                <w:sz w:val="28"/>
                                <w:szCs w:val="22"/>
                              </w:rPr>
                            </w:pPr>
                            <w:r>
                              <w:rPr>
                                <w:rFonts w:hint="eastAsia" w:ascii="仿宋_GB2312" w:hAnsi="宋体" w:eastAsia="仿宋_GB2312"/>
                                <w:sz w:val="28"/>
                                <w:szCs w:val="22"/>
                              </w:rPr>
                              <w:t>法人身份证明材料复印件</w:t>
                            </w:r>
                          </w:p>
                          <w:p>
                            <w:pPr>
                              <w:jc w:val="center"/>
                              <w:rPr>
                                <w:rFonts w:ascii="仿宋_GB2312" w:eastAsia="仿宋_GB2312"/>
                                <w:sz w:val="28"/>
                                <w:szCs w:val="22"/>
                              </w:rPr>
                            </w:pPr>
                            <w:r>
                              <w:rPr>
                                <w:rFonts w:hint="eastAsia" w:ascii="仿宋_GB2312" w:hAnsi="宋体" w:eastAsia="仿宋_GB2312"/>
                                <w:sz w:val="28"/>
                                <w:szCs w:val="22"/>
                              </w:rPr>
                              <w:t>（反面）</w:t>
                            </w:r>
                          </w:p>
                        </w:txbxContent>
                      </wps:txbx>
                      <wps:bodyPr rot="0" vert="horz" wrap="square" lIns="91440" tIns="45720" rIns="91440" bIns="45720" anchor="ctr" anchorCtr="0" upright="1">
                        <a:noAutofit/>
                      </wps:bodyPr>
                    </wps:wsp>
                  </a:graphicData>
                </a:graphic>
              </wp:anchor>
            </w:drawing>
          </mc:Choice>
          <mc:Fallback>
            <w:pict>
              <v:shape id="Text Box 17" o:spid="_x0000_s1026" o:spt="202" type="#_x0000_t202" style="position:absolute;left:0pt;margin-left:226.45pt;margin-top:6.25pt;height:98.8pt;width:176.45pt;z-index:251660288;v-text-anchor:middle;mso-width-relative:page;mso-height-relative:page;" fillcolor="#FFFFFF" filled="t" stroked="t" coordsize="21600,21600" o:gfxdata="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de2vDWAAAACgEAAA8AAAAAAAAAAQAgAAAA&#10;IgAAAGRycy9kb3ducmV2LnhtbFBLAQIUABQAAAAIAIdO4kC2ettQRgIAALAEAAAOAAAAAAAAAAEA&#10;IAAAACUBAABkcnMvZTJvRG9jLnhtbFBLBQYAAAAABgAGAFkBAADdBQAAAAA=&#10;">
                <v:fill on="t" focussize="0,0"/>
                <v:stroke color="#000000" miterlimit="8" joinstyle="miter" dashstyle="dash"/>
                <v:imagedata o:title=""/>
                <o:lock v:ext="edit" aspectratio="f"/>
                <v:textbox>
                  <w:txbxContent>
                    <w:p>
                      <w:pPr>
                        <w:jc w:val="center"/>
                      </w:pPr>
                    </w:p>
                    <w:p>
                      <w:pPr>
                        <w:jc w:val="center"/>
                        <w:rPr>
                          <w:rFonts w:ascii="仿宋_GB2312" w:hAnsi="宋体" w:eastAsia="仿宋_GB2312"/>
                          <w:sz w:val="28"/>
                          <w:szCs w:val="22"/>
                        </w:rPr>
                      </w:pPr>
                      <w:r>
                        <w:rPr>
                          <w:rFonts w:hint="eastAsia" w:ascii="仿宋_GB2312" w:hAnsi="宋体" w:eastAsia="仿宋_GB2312"/>
                          <w:sz w:val="28"/>
                          <w:szCs w:val="22"/>
                        </w:rPr>
                        <w:t>法人身份证明材料复印件</w:t>
                      </w:r>
                    </w:p>
                    <w:p>
                      <w:pPr>
                        <w:jc w:val="center"/>
                        <w:rPr>
                          <w:rFonts w:ascii="仿宋_GB2312" w:eastAsia="仿宋_GB2312"/>
                          <w:sz w:val="28"/>
                          <w:szCs w:val="22"/>
                        </w:rPr>
                      </w:pPr>
                      <w:r>
                        <w:rPr>
                          <w:rFonts w:hint="eastAsia" w:ascii="仿宋_GB2312" w:hAnsi="宋体" w:eastAsia="仿宋_GB2312"/>
                          <w:sz w:val="28"/>
                          <w:szCs w:val="22"/>
                        </w:rPr>
                        <w:t>（反面）</w:t>
                      </w:r>
                    </w:p>
                  </w:txbxContent>
                </v:textbox>
              </v:shape>
            </w:pict>
          </mc:Fallback>
        </mc:AlternateContent>
      </w:r>
      <w:r>
        <w:rPr>
          <w:rFonts w:ascii="Times New Roman" w:hAns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77470</wp:posOffset>
                </wp:positionV>
                <wp:extent cx="2240915" cy="1256665"/>
                <wp:effectExtent l="4445" t="4445" r="21590" b="15240"/>
                <wp:wrapNone/>
                <wp:docPr id="2"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Cs w:val="28"/>
                              </w:rPr>
                            </w:pPr>
                          </w:p>
                          <w:p>
                            <w:pPr>
                              <w:jc w:val="center"/>
                              <w:rPr>
                                <w:rFonts w:ascii="仿宋_GB2312" w:hAnsi="宋体" w:eastAsia="仿宋_GB2312"/>
                                <w:sz w:val="28"/>
                                <w:szCs w:val="22"/>
                              </w:rPr>
                            </w:pPr>
                            <w:r>
                              <w:rPr>
                                <w:rFonts w:hint="eastAsia" w:ascii="仿宋_GB2312" w:hAnsi="宋体" w:eastAsia="仿宋_GB2312"/>
                                <w:sz w:val="28"/>
                                <w:szCs w:val="22"/>
                              </w:rPr>
                              <w:t>法人身份证明材料复印件</w:t>
                            </w:r>
                          </w:p>
                          <w:p>
                            <w:pPr>
                              <w:jc w:val="center"/>
                              <w:rPr>
                                <w:rFonts w:ascii="仿宋_GB2312" w:eastAsia="仿宋_GB2312"/>
                                <w:sz w:val="28"/>
                                <w:szCs w:val="22"/>
                              </w:rPr>
                            </w:pPr>
                            <w:r>
                              <w:rPr>
                                <w:rFonts w:hint="eastAsia" w:ascii="仿宋_GB2312" w:hAnsi="宋体" w:eastAsia="仿宋_GB2312"/>
                                <w:sz w:val="28"/>
                                <w:szCs w:val="22"/>
                              </w:rPr>
                              <w:t>（正面）</w:t>
                            </w:r>
                          </w:p>
                        </w:txbxContent>
                      </wps:txbx>
                      <wps:bodyPr rot="0" vert="horz" wrap="square" lIns="91440" tIns="45720" rIns="91440" bIns="45720" anchor="ctr" anchorCtr="0" upright="1">
                        <a:noAutofit/>
                      </wps:bodyPr>
                    </wps:wsp>
                  </a:graphicData>
                </a:graphic>
              </wp:anchor>
            </w:drawing>
          </mc:Choice>
          <mc:Fallback>
            <w:pict>
              <v:shape id="Text Box 16" o:spid="_x0000_s1026" o:spt="202" type="#_x0000_t202" style="position:absolute;left:0pt;margin-left:30.6pt;margin-top:6.1pt;height:98.95pt;width:176.45pt;z-index:251659264;v-text-anchor:middle;mso-width-relative:page;mso-height-relative:page;" fillcolor="#FFFFFF" filled="t" stroked="t" coordsize="21600,21600" o:gfxdata="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ir2vNUAAAAJAQAADwAAAAAAAAABACAAAAAi&#10;AAAAZHJzL2Rvd25yZXYueG1sUEsBAhQAFAAAAAgAh07iQDtzr6RGAgAAsAQAAA4AAAAAAAAAAQAg&#10;AAAAJAEAAGRycy9lMm9Eb2MueG1sUEsFBgAAAAAGAAYAWQEAANwFAAAAAA==&#10;">
                <v:fill on="t" focussize="0,0"/>
                <v:stroke color="#000000" miterlimit="8" joinstyle="miter" dashstyle="dash"/>
                <v:imagedata o:title=""/>
                <o:lock v:ext="edit" aspectratio="f"/>
                <v:textbox>
                  <w:txbxContent>
                    <w:p>
                      <w:pPr>
                        <w:jc w:val="center"/>
                        <w:rPr>
                          <w:rFonts w:ascii="仿宋_GB2312" w:hAnsi="宋体" w:eastAsia="仿宋_GB2312"/>
                          <w:szCs w:val="28"/>
                        </w:rPr>
                      </w:pPr>
                    </w:p>
                    <w:p>
                      <w:pPr>
                        <w:jc w:val="center"/>
                        <w:rPr>
                          <w:rFonts w:ascii="仿宋_GB2312" w:hAnsi="宋体" w:eastAsia="仿宋_GB2312"/>
                          <w:sz w:val="28"/>
                          <w:szCs w:val="22"/>
                        </w:rPr>
                      </w:pPr>
                      <w:r>
                        <w:rPr>
                          <w:rFonts w:hint="eastAsia" w:ascii="仿宋_GB2312" w:hAnsi="宋体" w:eastAsia="仿宋_GB2312"/>
                          <w:sz w:val="28"/>
                          <w:szCs w:val="22"/>
                        </w:rPr>
                        <w:t>法人身份证明材料复印件</w:t>
                      </w:r>
                    </w:p>
                    <w:p>
                      <w:pPr>
                        <w:jc w:val="center"/>
                        <w:rPr>
                          <w:rFonts w:ascii="仿宋_GB2312" w:eastAsia="仿宋_GB2312"/>
                          <w:sz w:val="28"/>
                          <w:szCs w:val="22"/>
                        </w:rPr>
                      </w:pPr>
                      <w:r>
                        <w:rPr>
                          <w:rFonts w:hint="eastAsia" w:ascii="仿宋_GB2312" w:hAnsi="宋体" w:eastAsia="仿宋_GB2312"/>
                          <w:sz w:val="28"/>
                          <w:szCs w:val="22"/>
                        </w:rPr>
                        <w:t>（正面）</w:t>
                      </w:r>
                    </w:p>
                  </w:txbxContent>
                </v:textbox>
              </v:shape>
            </w:pict>
          </mc:Fallback>
        </mc:AlternateContent>
      </w:r>
    </w:p>
    <w:p>
      <w:pPr>
        <w:spacing w:line="572" w:lineRule="exact"/>
        <w:ind w:firstLine="680" w:firstLineChars="200"/>
        <w:rPr>
          <w:rFonts w:ascii="Times New Roman" w:hAnsi="Times New Roman" w:eastAsia="仿宋_GB2312"/>
          <w:color w:val="auto"/>
          <w:szCs w:val="32"/>
          <w:highlight w:val="none"/>
        </w:rPr>
      </w:pPr>
    </w:p>
    <w:p>
      <w:pPr>
        <w:pStyle w:val="2"/>
        <w:rPr>
          <w:rFonts w:ascii="Times New Roman" w:eastAsia="黑体"/>
          <w:b/>
          <w:color w:val="auto"/>
          <w:sz w:val="32"/>
          <w:szCs w:val="32"/>
          <w:highlight w:val="none"/>
        </w:rPr>
      </w:pPr>
    </w:p>
    <w:p>
      <w:pPr>
        <w:pStyle w:val="2"/>
        <w:rPr>
          <w:rFonts w:ascii="Times New Roman" w:eastAsia="黑体"/>
          <w:b/>
          <w:color w:val="auto"/>
          <w:sz w:val="32"/>
          <w:szCs w:val="32"/>
          <w:highlight w:val="none"/>
        </w:rPr>
      </w:pPr>
    </w:p>
    <w:p>
      <w:pPr>
        <w:spacing w:line="360" w:lineRule="auto"/>
        <w:jc w:val="center"/>
        <w:rPr>
          <w:rFonts w:ascii="Times New Roman" w:hAnsi="Times New Roman" w:eastAsia="黑体"/>
          <w:b/>
          <w:color w:val="auto"/>
          <w:sz w:val="32"/>
          <w:szCs w:val="32"/>
          <w:highlight w:val="none"/>
        </w:rPr>
      </w:pPr>
      <w:r>
        <w:rPr>
          <w:rFonts w:ascii="Times New Roman" w:hAnsi="Times New Roman" w:eastAsia="黑体"/>
          <w:b/>
          <w:color w:val="auto"/>
          <w:sz w:val="32"/>
          <w:szCs w:val="32"/>
          <w:highlight w:val="none"/>
        </w:rPr>
        <w:br w:type="page"/>
      </w:r>
    </w:p>
    <w:p>
      <w:pPr>
        <w:spacing w:line="360" w:lineRule="auto"/>
        <w:jc w:val="center"/>
        <w:rPr>
          <w:rFonts w:ascii="Times New Roman" w:hAnsi="Times New Roman" w:eastAsia="黑体"/>
          <w:b/>
          <w:color w:val="auto"/>
          <w:sz w:val="32"/>
          <w:szCs w:val="32"/>
          <w:highlight w:val="none"/>
        </w:rPr>
      </w:pPr>
    </w:p>
    <w:p>
      <w:pPr>
        <w:spacing w:line="360" w:lineRule="auto"/>
        <w:jc w:val="center"/>
        <w:rPr>
          <w:rFonts w:ascii="Times New Roman" w:hAnsi="Times New Roman" w:eastAsia="黑体"/>
          <w:b/>
          <w:color w:val="auto"/>
          <w:sz w:val="32"/>
          <w:szCs w:val="32"/>
          <w:highlight w:val="none"/>
        </w:rPr>
      </w:pPr>
      <w:r>
        <w:rPr>
          <w:rFonts w:ascii="Times New Roman" w:hAnsi="Times New Roman" w:eastAsia="黑体"/>
          <w:b/>
          <w:color w:val="auto"/>
          <w:sz w:val="32"/>
          <w:szCs w:val="32"/>
          <w:highlight w:val="none"/>
        </w:rPr>
        <w:t>授权代表身份证明材料复印件</w:t>
      </w:r>
    </w:p>
    <w:p>
      <w:pPr>
        <w:pStyle w:val="2"/>
        <w:rPr>
          <w:rFonts w:ascii="Times New Roman" w:eastAsia="黑体"/>
          <w:b/>
          <w:color w:val="auto"/>
          <w:sz w:val="32"/>
          <w:szCs w:val="32"/>
          <w:highlight w:val="none"/>
        </w:rPr>
      </w:pPr>
    </w:p>
    <w:p>
      <w:pPr>
        <w:spacing w:line="572" w:lineRule="exact"/>
        <w:ind w:firstLine="680" w:firstLineChars="200"/>
        <w:rPr>
          <w:rFonts w:ascii="Times New Roman" w:hAnsi="Times New Roman" w:eastAsia="仿宋_GB2312"/>
          <w:color w:val="auto"/>
          <w:szCs w:val="32"/>
          <w:highlight w:val="none"/>
        </w:rPr>
      </w:pPr>
    </w:p>
    <w:p>
      <w:pPr>
        <w:spacing w:line="572" w:lineRule="exact"/>
        <w:ind w:firstLine="680" w:firstLineChars="200"/>
        <w:rPr>
          <w:rFonts w:ascii="Times New Roman" w:hAnsi="Times New Roman" w:eastAsia="仿宋_GB2312"/>
          <w:color w:val="auto"/>
          <w:szCs w:val="32"/>
          <w:highlight w:val="none"/>
        </w:rPr>
      </w:pPr>
      <w:r>
        <w:rPr>
          <w:rFonts w:ascii="Times New Roman" w:hAnsi="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15875</wp:posOffset>
                </wp:positionV>
                <wp:extent cx="2440940" cy="1315085"/>
                <wp:effectExtent l="4445" t="4445" r="12065" b="13970"/>
                <wp:wrapNone/>
                <wp:docPr id="4" name="Text Box 17"/>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pPr>
                          </w:p>
                          <w:p>
                            <w:pPr>
                              <w:jc w:val="center"/>
                              <w:rPr>
                                <w:rFonts w:ascii="仿宋_GB2312" w:hAnsi="宋体" w:eastAsia="仿宋_GB2312"/>
                                <w:sz w:val="28"/>
                                <w:szCs w:val="22"/>
                              </w:rPr>
                            </w:pPr>
                            <w:r>
                              <w:rPr>
                                <w:rFonts w:hint="eastAsia" w:ascii="仿宋_GB2312" w:hAnsi="宋体" w:eastAsia="仿宋_GB2312"/>
                                <w:sz w:val="28"/>
                                <w:szCs w:val="22"/>
                              </w:rPr>
                              <w:t>授权代表身份证明材料复印件</w:t>
                            </w:r>
                          </w:p>
                          <w:p>
                            <w:pPr>
                              <w:jc w:val="center"/>
                              <w:rPr>
                                <w:rFonts w:ascii="仿宋_GB2312" w:eastAsia="仿宋_GB2312"/>
                                <w:sz w:val="28"/>
                                <w:szCs w:val="22"/>
                              </w:rPr>
                            </w:pPr>
                            <w:r>
                              <w:rPr>
                                <w:rFonts w:hint="eastAsia" w:ascii="仿宋_GB2312" w:hAnsi="宋体" w:eastAsia="仿宋_GB2312"/>
                                <w:sz w:val="28"/>
                                <w:szCs w:val="22"/>
                              </w:rPr>
                              <w:t>（反面）</w:t>
                            </w:r>
                          </w:p>
                        </w:txbxContent>
                      </wps:txbx>
                      <wps:bodyPr rot="0" vert="horz" wrap="square" lIns="91440" tIns="45720" rIns="91440" bIns="45720" anchor="ctr" anchorCtr="0" upright="1">
                        <a:noAutofit/>
                      </wps:bodyPr>
                    </wps:wsp>
                  </a:graphicData>
                </a:graphic>
              </wp:anchor>
            </w:drawing>
          </mc:Choice>
          <mc:Fallback>
            <w:pict>
              <v:shape id="Text Box 17" o:spid="_x0000_s1026" o:spt="202" type="#_x0000_t202" style="position:absolute;left:0pt;margin-left:226.45pt;margin-top:1.25pt;height:103.55pt;width:192.2pt;z-index:251662336;v-text-anchor:middle;mso-width-relative:page;mso-height-relative:page;" fillcolor="#FFFFFF" filled="t" stroked="t" coordsize="21600,21600" o:gfxdata="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V7gCPWAAAACQEAAA8AAAAAAAAAAQAgAAAA&#10;IgAAAGRycy9kb3ducmV2LnhtbFBLAQIUABQAAAAIAIdO4kDuqCcERgIAALAEAAAOAAAAAAAAAAEA&#10;IAAAACUBAABkcnMvZTJvRG9jLnhtbFBLBQYAAAAABgAGAFkBAADdBQAAAAA=&#10;">
                <v:fill on="t" focussize="0,0"/>
                <v:stroke color="#000000" miterlimit="8" joinstyle="miter" dashstyle="dash"/>
                <v:imagedata o:title=""/>
                <o:lock v:ext="edit" aspectratio="f"/>
                <v:textbox>
                  <w:txbxContent>
                    <w:p>
                      <w:pPr>
                        <w:jc w:val="center"/>
                      </w:pPr>
                    </w:p>
                    <w:p>
                      <w:pPr>
                        <w:jc w:val="center"/>
                        <w:rPr>
                          <w:rFonts w:ascii="仿宋_GB2312" w:hAnsi="宋体" w:eastAsia="仿宋_GB2312"/>
                          <w:sz w:val="28"/>
                          <w:szCs w:val="22"/>
                        </w:rPr>
                      </w:pPr>
                      <w:r>
                        <w:rPr>
                          <w:rFonts w:hint="eastAsia" w:ascii="仿宋_GB2312" w:hAnsi="宋体" w:eastAsia="仿宋_GB2312"/>
                          <w:sz w:val="28"/>
                          <w:szCs w:val="22"/>
                        </w:rPr>
                        <w:t>授权代表身份证明材料复印件</w:t>
                      </w:r>
                    </w:p>
                    <w:p>
                      <w:pPr>
                        <w:jc w:val="center"/>
                        <w:rPr>
                          <w:rFonts w:ascii="仿宋_GB2312" w:eastAsia="仿宋_GB2312"/>
                          <w:sz w:val="28"/>
                          <w:szCs w:val="22"/>
                        </w:rPr>
                      </w:pPr>
                      <w:r>
                        <w:rPr>
                          <w:rFonts w:hint="eastAsia" w:ascii="仿宋_GB2312" w:hAnsi="宋体" w:eastAsia="仿宋_GB2312"/>
                          <w:sz w:val="28"/>
                          <w:szCs w:val="22"/>
                        </w:rPr>
                        <w:t>（反面）</w:t>
                      </w:r>
                    </w:p>
                  </w:txbxContent>
                </v:textbox>
              </v:shape>
            </w:pict>
          </mc:Fallback>
        </mc:AlternateContent>
      </w:r>
      <w:r>
        <w:rPr>
          <w:rFonts w:ascii="Times New Roman" w:hAnsi="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13970</wp:posOffset>
                </wp:positionV>
                <wp:extent cx="2373630" cy="1355725"/>
                <wp:effectExtent l="4445" t="4445" r="22225" b="11430"/>
                <wp:wrapNone/>
                <wp:docPr id="1"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rFonts w:ascii="仿宋_GB2312" w:eastAsia="仿宋_GB2312"/>
                              </w:rPr>
                            </w:pPr>
                          </w:p>
                          <w:p>
                            <w:pPr>
                              <w:jc w:val="center"/>
                              <w:rPr>
                                <w:rFonts w:ascii="仿宋_GB2312" w:hAnsi="宋体" w:eastAsia="仿宋_GB2312"/>
                                <w:sz w:val="28"/>
                                <w:szCs w:val="22"/>
                              </w:rPr>
                            </w:pPr>
                            <w:r>
                              <w:rPr>
                                <w:rFonts w:hint="eastAsia" w:ascii="仿宋_GB2312" w:hAnsi="宋体" w:eastAsia="仿宋_GB2312"/>
                                <w:sz w:val="28"/>
                                <w:szCs w:val="22"/>
                              </w:rPr>
                              <w:t>授权代表身份证明材料复印件</w:t>
                            </w:r>
                          </w:p>
                          <w:p>
                            <w:pPr>
                              <w:jc w:val="center"/>
                              <w:rPr>
                                <w:rFonts w:ascii="仿宋_GB2312" w:eastAsia="仿宋_GB2312"/>
                                <w:sz w:val="28"/>
                                <w:szCs w:val="22"/>
                              </w:rPr>
                            </w:pPr>
                            <w:r>
                              <w:rPr>
                                <w:rFonts w:hint="eastAsia" w:ascii="仿宋_GB2312" w:hAnsi="宋体" w:eastAsia="仿宋_GB2312"/>
                                <w:sz w:val="28"/>
                                <w:szCs w:val="22"/>
                              </w:rPr>
                              <w:t>（正面）</w:t>
                            </w:r>
                          </w:p>
                        </w:txbxContent>
                      </wps:txbx>
                      <wps:bodyPr rot="0" vert="horz" wrap="square" lIns="91440" tIns="45720" rIns="91440" bIns="45720" anchor="ctr" anchorCtr="0" upright="1">
                        <a:noAutofit/>
                      </wps:bodyPr>
                    </wps:wsp>
                  </a:graphicData>
                </a:graphic>
              </wp:anchor>
            </w:drawing>
          </mc:Choice>
          <mc:Fallback>
            <w:pict>
              <v:shape id="Text Box 16" o:spid="_x0000_s1026" o:spt="202" type="#_x0000_t202" style="position:absolute;left:0pt;margin-left:30.6pt;margin-top:1.1pt;height:106.75pt;width:186.9pt;z-index:251661312;v-text-anchor:middle;mso-width-relative:page;mso-height-relative:page;" fillcolor="#FFFFFF" filled="t" stroked="t" coordsize="21600,21600" o:gfxdata="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3NQGtUAAAAIAQAADwAAAAAAAAABACAAAAAi&#10;AAAAZHJzL2Rvd25yZXYueG1sUEsBAhQAFAAAAAgAh07iQMMPw4BGAgAAsAQAAA4AAAAAAAAAAQAg&#10;AAAAJAEAAGRycy9lMm9Eb2MueG1sUEsFBgAAAAAGAAYAWQEAANwFAAAAAA==&#10;">
                <v:fill on="t" focussize="0,0"/>
                <v:stroke color="#000000" miterlimit="8" joinstyle="miter" dashstyle="dash"/>
                <v:imagedata o:title=""/>
                <o:lock v:ext="edit" aspectratio="f"/>
                <v:textbox>
                  <w:txbxContent>
                    <w:p>
                      <w:pPr>
                        <w:jc w:val="center"/>
                        <w:rPr>
                          <w:rFonts w:ascii="仿宋_GB2312" w:eastAsia="仿宋_GB2312"/>
                        </w:rPr>
                      </w:pPr>
                    </w:p>
                    <w:p>
                      <w:pPr>
                        <w:jc w:val="center"/>
                        <w:rPr>
                          <w:rFonts w:ascii="仿宋_GB2312" w:hAnsi="宋体" w:eastAsia="仿宋_GB2312"/>
                          <w:sz w:val="28"/>
                          <w:szCs w:val="22"/>
                        </w:rPr>
                      </w:pPr>
                      <w:r>
                        <w:rPr>
                          <w:rFonts w:hint="eastAsia" w:ascii="仿宋_GB2312" w:hAnsi="宋体" w:eastAsia="仿宋_GB2312"/>
                          <w:sz w:val="28"/>
                          <w:szCs w:val="22"/>
                        </w:rPr>
                        <w:t>授权代表身份证明材料复印件</w:t>
                      </w:r>
                    </w:p>
                    <w:p>
                      <w:pPr>
                        <w:jc w:val="center"/>
                        <w:rPr>
                          <w:rFonts w:ascii="仿宋_GB2312" w:eastAsia="仿宋_GB2312"/>
                          <w:sz w:val="28"/>
                          <w:szCs w:val="22"/>
                        </w:rPr>
                      </w:pPr>
                      <w:r>
                        <w:rPr>
                          <w:rFonts w:hint="eastAsia" w:ascii="仿宋_GB2312" w:hAnsi="宋体" w:eastAsia="仿宋_GB2312"/>
                          <w:sz w:val="28"/>
                          <w:szCs w:val="22"/>
                        </w:rPr>
                        <w:t>（正面）</w:t>
                      </w:r>
                    </w:p>
                  </w:txbxContent>
                </v:textbox>
              </v:shape>
            </w:pict>
          </mc:Fallback>
        </mc:AlternateContent>
      </w:r>
    </w:p>
    <w:p>
      <w:pPr>
        <w:spacing w:line="572" w:lineRule="exact"/>
        <w:ind w:firstLine="680" w:firstLineChars="200"/>
        <w:rPr>
          <w:rFonts w:ascii="Times New Roman" w:hAnsi="Times New Roman" w:eastAsia="仿宋_GB2312"/>
          <w:color w:val="auto"/>
          <w:szCs w:val="32"/>
          <w:highlight w:val="none"/>
        </w:rPr>
      </w:pPr>
    </w:p>
    <w:p>
      <w:pPr>
        <w:rPr>
          <w:rFonts w:ascii="Times New Roman" w:hAnsi="Times New Roman" w:eastAsia="黑体"/>
          <w:b/>
          <w:color w:val="auto"/>
          <w:sz w:val="32"/>
          <w:szCs w:val="32"/>
          <w:highlight w:val="none"/>
        </w:rPr>
      </w:pPr>
    </w:p>
    <w:p>
      <w:pPr>
        <w:pStyle w:val="2"/>
        <w:rPr>
          <w:rFonts w:ascii="Times New Roman" w:eastAsia="黑体"/>
          <w:b/>
          <w:color w:val="auto"/>
          <w:sz w:val="32"/>
          <w:szCs w:val="32"/>
          <w:highlight w:val="none"/>
        </w:rPr>
      </w:pPr>
    </w:p>
    <w:p>
      <w:pPr>
        <w:spacing w:line="360" w:lineRule="auto"/>
        <w:ind w:right="482"/>
        <w:outlineLvl w:val="2"/>
        <w:rPr>
          <w:rFonts w:ascii="Times New Roman" w:hAnsi="Times New Roman"/>
          <w:b/>
          <w:color w:val="auto"/>
          <w:sz w:val="24"/>
          <w:szCs w:val="24"/>
          <w:highlight w:val="none"/>
        </w:rPr>
      </w:pPr>
      <w:r>
        <w:rPr>
          <w:rFonts w:ascii="Times New Roman" w:hAnsi="Times New Roman" w:eastAsia="黑体"/>
          <w:b/>
          <w:color w:val="auto"/>
          <w:sz w:val="32"/>
          <w:szCs w:val="32"/>
          <w:highlight w:val="none"/>
        </w:rPr>
        <w:br w:type="page"/>
      </w:r>
      <w:r>
        <w:rPr>
          <w:rFonts w:ascii="Times New Roman" w:hAnsi="Times New Roman"/>
          <w:b/>
          <w:color w:val="auto"/>
          <w:sz w:val="24"/>
          <w:szCs w:val="24"/>
          <w:highlight w:val="none"/>
        </w:rPr>
        <w:t xml:space="preserve">附件1-4 </w:t>
      </w:r>
    </w:p>
    <w:p>
      <w:pPr>
        <w:spacing w:line="360" w:lineRule="auto"/>
        <w:jc w:val="center"/>
        <w:rPr>
          <w:rFonts w:ascii="Times New Roman" w:hAnsi="Times New Roman"/>
          <w:color w:val="auto"/>
          <w:highlight w:val="none"/>
        </w:rPr>
      </w:pPr>
      <w:bookmarkStart w:id="108" w:name="_Toc3298150"/>
      <w:bookmarkStart w:id="109" w:name="_Toc478476788"/>
      <w:r>
        <w:rPr>
          <w:rFonts w:ascii="Times New Roman" w:hAnsi="Times New Roman"/>
          <w:color w:val="auto"/>
          <w:sz w:val="24"/>
          <w:szCs w:val="24"/>
          <w:highlight w:val="none"/>
        </w:rPr>
        <w:t>磋商承诺函</w:t>
      </w:r>
      <w:bookmarkEnd w:id="108"/>
      <w:bookmarkEnd w:id="109"/>
    </w:p>
    <w:p>
      <w:pPr>
        <w:widowControl/>
        <w:spacing w:line="360" w:lineRule="auto"/>
        <w:jc w:val="left"/>
        <w:rPr>
          <w:rFonts w:ascii="Times New Roman" w:hAnsi="Times New Roman"/>
          <w:color w:val="auto"/>
          <w:sz w:val="24"/>
          <w:highlight w:val="none"/>
        </w:rPr>
      </w:pPr>
      <w:bookmarkStart w:id="110" w:name="_Toc478476789"/>
      <w:bookmarkStart w:id="111" w:name="_Toc3298151"/>
      <w:r>
        <w:rPr>
          <w:rFonts w:ascii="Times New Roman" w:hAnsi="Times New Roman"/>
          <w:color w:val="auto"/>
          <w:sz w:val="24"/>
          <w:highlight w:val="none"/>
        </w:rPr>
        <w:t>中化商务有限公司：</w:t>
      </w:r>
      <w:bookmarkEnd w:id="110"/>
      <w:bookmarkEnd w:id="111"/>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12" w:name="_Toc478476790"/>
      <w:bookmarkStart w:id="113" w:name="_Toc3298152"/>
      <w:r>
        <w:rPr>
          <w:rFonts w:ascii="Times New Roman" w:hAnsi="Times New Roman"/>
          <w:color w:val="auto"/>
          <w:sz w:val="24"/>
          <w:highlight w:val="none"/>
        </w:rPr>
        <w:t>我公司作为本次采购项目的供应商，根据竞争性磋商文件要求，现郑重承诺如下：</w:t>
      </w:r>
      <w:bookmarkEnd w:id="112"/>
      <w:bookmarkEnd w:id="113"/>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14" w:name="_Toc478476791"/>
      <w:bookmarkStart w:id="115" w:name="_Toc3298153"/>
      <w:r>
        <w:rPr>
          <w:rFonts w:ascii="Times New Roman" w:hAnsi="Times New Roman"/>
          <w:color w:val="auto"/>
          <w:sz w:val="24"/>
          <w:highlight w:val="none"/>
        </w:rPr>
        <w:t>一、具备《中华人民共和国政府采购法》第二十二条第一款和本项目规定的条件：</w:t>
      </w:r>
      <w:bookmarkEnd w:id="114"/>
      <w:bookmarkEnd w:id="115"/>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16" w:name="_Toc478476792"/>
      <w:bookmarkStart w:id="117" w:name="_Toc3298154"/>
      <w:r>
        <w:rPr>
          <w:rFonts w:ascii="Times New Roman" w:hAnsi="Times New Roman"/>
          <w:color w:val="auto"/>
          <w:sz w:val="24"/>
          <w:highlight w:val="none"/>
        </w:rPr>
        <w:t xml:space="preserve">（一）具有独立承担民事责任的能力； </w:t>
      </w:r>
    </w:p>
    <w:p>
      <w:pPr>
        <w:widowControl/>
        <w:adjustRightInd w:val="0"/>
        <w:snapToGrid w:val="0"/>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（二）具有良好的商业信誉和健全的财务会计制度；</w:t>
      </w:r>
    </w:p>
    <w:p>
      <w:pPr>
        <w:widowControl/>
        <w:adjustRightInd w:val="0"/>
        <w:snapToGrid w:val="0"/>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（三）具有履行合同所必需的设备和专业技术能力；</w:t>
      </w:r>
    </w:p>
    <w:p>
      <w:pPr>
        <w:widowControl/>
        <w:adjustRightInd w:val="0"/>
        <w:snapToGrid w:val="0"/>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（四）有依法缴纳税收和社会保障资金的良好记录；</w:t>
      </w:r>
    </w:p>
    <w:p>
      <w:pPr>
        <w:widowControl/>
        <w:adjustRightInd w:val="0"/>
        <w:snapToGrid w:val="0"/>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（五）参加政府采购活动前三年内，在经营活动中没有重大违法记录；</w:t>
      </w:r>
      <w:bookmarkEnd w:id="116"/>
      <w:bookmarkEnd w:id="117"/>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18" w:name="_Toc3298155"/>
      <w:bookmarkStart w:id="119" w:name="_Toc478476793"/>
      <w:r>
        <w:rPr>
          <w:rFonts w:ascii="Times New Roman" w:hAnsi="Times New Roman"/>
          <w:color w:val="auto"/>
          <w:sz w:val="24"/>
          <w:highlight w:val="none"/>
        </w:rPr>
        <w:t>（六）法律、行政法规规定的其他条件；</w:t>
      </w:r>
      <w:bookmarkEnd w:id="118"/>
      <w:bookmarkEnd w:id="119"/>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20" w:name="_Toc478476794"/>
      <w:bookmarkStart w:id="121" w:name="_Toc3298156"/>
      <w:r>
        <w:rPr>
          <w:rFonts w:ascii="Times New Roman" w:hAnsi="Times New Roman"/>
          <w:color w:val="auto"/>
          <w:sz w:val="24"/>
          <w:highlight w:val="none"/>
        </w:rPr>
        <w:t>（七）根据采购项目提出的特殊条件。</w:t>
      </w:r>
      <w:bookmarkEnd w:id="120"/>
      <w:bookmarkEnd w:id="121"/>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22" w:name="_Toc478476795"/>
      <w:bookmarkStart w:id="123" w:name="_Toc3298157"/>
      <w:r>
        <w:rPr>
          <w:rFonts w:ascii="Times New Roman" w:hAnsi="Times New Roman"/>
          <w:color w:val="auto"/>
          <w:sz w:val="24"/>
          <w:highlight w:val="none"/>
        </w:rPr>
        <w:t>二、完全接受和满足本项目竞争性磋商文件中规定的实质性要求（如</w:t>
      </w:r>
      <w:r>
        <w:rPr>
          <w:rFonts w:ascii="Times New Roman" w:hAnsi="Times New Roman"/>
          <w:color w:val="auto"/>
          <w:sz w:val="24"/>
          <w:highlight w:val="none"/>
          <w:lang w:val="zh-CN"/>
        </w:rPr>
        <w:t>备选方案和多个报价</w:t>
      </w:r>
      <w:r>
        <w:rPr>
          <w:rFonts w:ascii="Times New Roman" w:hAnsi="Times New Roman"/>
          <w:color w:val="auto"/>
          <w:sz w:val="24"/>
          <w:szCs w:val="24"/>
          <w:highlight w:val="none"/>
        </w:rPr>
        <w:t>、合格的供应商资格条件、充分、公平竞争保障措施、</w:t>
      </w:r>
      <w:r>
        <w:rPr>
          <w:rFonts w:ascii="Times New Roman" w:hAnsi="Times New Roman"/>
          <w:color w:val="auto"/>
          <w:sz w:val="24"/>
          <w:highlight w:val="none"/>
        </w:rPr>
        <w:t>知识产权、竞争性磋商保证金、报价有效期、付款方式等），如对竞争性磋商文件有异议，已经在递交竞争性磋商响应文件截止时间届满前依法进行维权救济，不存在对竞争性磋商文件有异议的同时又参加报价以求侥幸成交或者为实现其他非法目的的行为。</w:t>
      </w:r>
      <w:bookmarkEnd w:id="122"/>
      <w:bookmarkEnd w:id="123"/>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24" w:name="_Toc3298158"/>
      <w:bookmarkStart w:id="125" w:name="_Toc478476796"/>
      <w:r>
        <w:rPr>
          <w:rFonts w:ascii="Times New Roman" w:hAnsi="Times New Roman"/>
          <w:color w:val="auto"/>
          <w:sz w:val="24"/>
          <w:highlight w:val="none"/>
        </w:rPr>
        <w:t>三、参加本次采购活动，不存在与单位负责人为同一人或者存在直接控股、管理关系的其他供应商参与同一合同项下的政府采购活动的行为。</w:t>
      </w:r>
      <w:bookmarkEnd w:id="124"/>
      <w:bookmarkEnd w:id="125"/>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26" w:name="_Toc3298159"/>
      <w:bookmarkStart w:id="127" w:name="_Toc478476797"/>
      <w:r>
        <w:rPr>
          <w:rFonts w:ascii="Times New Roman" w:hAnsi="Times New Roman"/>
          <w:color w:val="auto"/>
          <w:sz w:val="24"/>
          <w:highlight w:val="none"/>
        </w:rPr>
        <w:t>四、参加本次采购活动，不存在和其他供应商在同一合同项下的采购项目中，同时委托同一个自然人、同一家庭的人员、同一单位的人员作为代理人的行为。</w:t>
      </w:r>
      <w:bookmarkEnd w:id="126"/>
      <w:bookmarkEnd w:id="127"/>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28" w:name="_Toc3298161"/>
      <w:bookmarkStart w:id="129" w:name="_Toc478476799"/>
      <w:r>
        <w:rPr>
          <w:rFonts w:hint="eastAsia" w:ascii="Times New Roman" w:hAnsi="Times New Roman"/>
          <w:color w:val="auto"/>
          <w:sz w:val="24"/>
          <w:highlight w:val="none"/>
          <w:lang w:eastAsia="zh-CN"/>
        </w:rPr>
        <w:t>五</w:t>
      </w:r>
      <w:r>
        <w:rPr>
          <w:rFonts w:ascii="Times New Roman" w:hAnsi="Times New Roman"/>
          <w:color w:val="auto"/>
          <w:sz w:val="24"/>
          <w:highlight w:val="none"/>
        </w:rPr>
        <w:t>、响应文件中提供的能够给予我公司带来优惠、好处的任何材料资料和技术、服务、商务等响应承诺情况都是真实的、有效的、合法的。</w:t>
      </w:r>
      <w:bookmarkEnd w:id="128"/>
      <w:bookmarkEnd w:id="129"/>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30" w:name="_Toc478476800"/>
      <w:bookmarkStart w:id="131" w:name="_Toc3298162"/>
      <w:r>
        <w:rPr>
          <w:rFonts w:hint="eastAsia" w:ascii="Times New Roman" w:hAnsi="Times New Roman"/>
          <w:color w:val="auto"/>
          <w:sz w:val="24"/>
          <w:highlight w:val="none"/>
          <w:lang w:eastAsia="zh-CN"/>
        </w:rPr>
        <w:t>六</w:t>
      </w:r>
      <w:r>
        <w:rPr>
          <w:rFonts w:ascii="Times New Roman" w:hAnsi="Times New Roman"/>
          <w:color w:val="auto"/>
          <w:sz w:val="24"/>
          <w:highlight w:val="none"/>
        </w:rPr>
        <w:t>、我单位、我单位法定代表人</w:t>
      </w:r>
      <w:r>
        <w:rPr>
          <w:rFonts w:ascii="Times New Roman" w:hAnsi="Times New Roman"/>
          <w:bCs/>
          <w:color w:val="auto"/>
          <w:sz w:val="24"/>
          <w:highlight w:val="none"/>
        </w:rPr>
        <w:t>/主要负责人在前3年内不具有行贿犯罪记录</w:t>
      </w:r>
      <w:r>
        <w:rPr>
          <w:rFonts w:ascii="Times New Roman" w:hAnsi="Times New Roman"/>
          <w:color w:val="auto"/>
          <w:sz w:val="24"/>
          <w:highlight w:val="none"/>
        </w:rPr>
        <w:t>。</w:t>
      </w:r>
      <w:bookmarkEnd w:id="130"/>
      <w:bookmarkEnd w:id="131"/>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32" w:name="_Toc3298163"/>
      <w:bookmarkStart w:id="133" w:name="_Toc478476801"/>
      <w:r>
        <w:rPr>
          <w:rFonts w:hint="eastAsia" w:ascii="Times New Roman" w:hAnsi="Times New Roman"/>
          <w:color w:val="auto"/>
          <w:sz w:val="24"/>
          <w:highlight w:val="none"/>
          <w:lang w:eastAsia="zh-CN"/>
        </w:rPr>
        <w:t>七</w:t>
      </w:r>
      <w:r>
        <w:rPr>
          <w:rFonts w:ascii="Times New Roman" w:hAnsi="Times New Roman"/>
          <w:color w:val="auto"/>
          <w:sz w:val="24"/>
          <w:highlight w:val="none"/>
        </w:rPr>
        <w:t>、如本项目竞争性磋商采购过程中需要提供样品，则我公司提供的样品即为成交后将要提供的成交产品，我公司对提供样品的性能和质量负责，因样品存在缺陷或者不符合磋商文件要求导致未能成交的，我公司愿意承担相应不利后果。</w:t>
      </w:r>
      <w:bookmarkEnd w:id="132"/>
    </w:p>
    <w:p>
      <w:pPr>
        <w:pStyle w:val="2"/>
        <w:adjustRightInd w:val="0"/>
        <w:snapToGrid w:val="0"/>
        <w:spacing w:after="0" w:line="360" w:lineRule="auto"/>
        <w:ind w:firstLine="480" w:firstLineChars="200"/>
        <w:rPr>
          <w:rFonts w:ascii="Times New Roman"/>
          <w:color w:val="auto"/>
          <w:highlight w:val="none"/>
        </w:rPr>
      </w:pPr>
      <w:r>
        <w:rPr>
          <w:rFonts w:hint="eastAsia" w:ascii="Times New Roman"/>
          <w:color w:val="auto"/>
          <w:sz w:val="24"/>
          <w:highlight w:val="none"/>
          <w:lang w:eastAsia="zh-CN"/>
        </w:rPr>
        <w:t>八</w:t>
      </w:r>
      <w:r>
        <w:rPr>
          <w:rFonts w:ascii="Times New Roman"/>
          <w:color w:val="auto"/>
          <w:sz w:val="24"/>
          <w:highlight w:val="none"/>
        </w:rPr>
        <w:t>、我单位承诺，我单位截止至</w:t>
      </w:r>
      <w:r>
        <w:rPr>
          <w:rFonts w:ascii="Times New Roman"/>
          <w:bCs/>
          <w:color w:val="auto"/>
          <w:sz w:val="24"/>
          <w:highlight w:val="none"/>
        </w:rPr>
        <w:t>响应文件截止时间</w:t>
      </w:r>
      <w:r>
        <w:rPr>
          <w:rFonts w:ascii="Times New Roman"/>
          <w:color w:val="auto"/>
          <w:sz w:val="24"/>
          <w:highlight w:val="none"/>
        </w:rPr>
        <w:t>前，未被列入“信用中国”网站(www.creditchina.gov.cn)失信被执行人或重大税收违法案件当事人名单，未被列入“中国政府采购网”网站(www.ccgp.gov.cn)政府采购严重违法失信行为记录名单中被财政部门禁止参加政府采购活动的供应商（处罚决定规定的时间和地域范围内）。</w:t>
      </w:r>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34" w:name="_Toc3298164"/>
      <w:r>
        <w:rPr>
          <w:rFonts w:hint="eastAsia" w:ascii="Times New Roman" w:hAnsi="Times New Roman"/>
          <w:color w:val="auto"/>
          <w:sz w:val="24"/>
          <w:highlight w:val="none"/>
          <w:lang w:eastAsia="zh-CN"/>
        </w:rPr>
        <w:t>九</w:t>
      </w:r>
      <w:r>
        <w:rPr>
          <w:rFonts w:ascii="Times New Roman" w:hAnsi="Times New Roman"/>
          <w:color w:val="auto"/>
          <w:sz w:val="24"/>
          <w:highlight w:val="none"/>
        </w:rPr>
        <w:t>、若有幸成交，将在领取成交通知书之前向贵公司缴纳足额的成交服务费。</w:t>
      </w:r>
      <w:bookmarkEnd w:id="133"/>
      <w:bookmarkEnd w:id="134"/>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35" w:name="_Toc3298165"/>
      <w:r>
        <w:rPr>
          <w:rFonts w:ascii="Times New Roman" w:hAnsi="Times New Roman"/>
          <w:color w:val="auto"/>
          <w:sz w:val="24"/>
          <w:highlight w:val="none"/>
        </w:rPr>
        <w:t>十、我单位及我单位提供的报价产品均满足法律法规强制性要求的其他许可或认证资格</w:t>
      </w:r>
      <w:bookmarkEnd w:id="135"/>
      <w:r>
        <w:rPr>
          <w:rFonts w:ascii="Times New Roman" w:hAnsi="Times New Roman"/>
          <w:color w:val="auto"/>
          <w:sz w:val="24"/>
          <w:highlight w:val="none"/>
        </w:rPr>
        <w:t>。</w:t>
      </w:r>
    </w:p>
    <w:p>
      <w:pPr>
        <w:pStyle w:val="2"/>
        <w:spacing w:line="360" w:lineRule="auto"/>
        <w:rPr>
          <w:rFonts w:ascii="Times New Roman"/>
          <w:color w:val="auto"/>
          <w:highlight w:val="none"/>
        </w:rPr>
      </w:pPr>
      <w:r>
        <w:rPr>
          <w:rFonts w:ascii="Times New Roman"/>
          <w:color w:val="auto"/>
          <w:sz w:val="24"/>
          <w:highlight w:val="none"/>
        </w:rPr>
        <w:t xml:space="preserve">    十</w:t>
      </w:r>
      <w:r>
        <w:rPr>
          <w:rFonts w:hint="eastAsia" w:ascii="Times New Roman"/>
          <w:color w:val="auto"/>
          <w:sz w:val="24"/>
          <w:highlight w:val="none"/>
          <w:lang w:eastAsia="zh-CN"/>
        </w:rPr>
        <w:t>一</w:t>
      </w:r>
      <w:r>
        <w:rPr>
          <w:rFonts w:ascii="Times New Roman"/>
          <w:color w:val="auto"/>
          <w:sz w:val="24"/>
          <w:highlight w:val="none"/>
        </w:rPr>
        <w:t>、我方承诺除商务要求响应/偏离表和技术、服务要求响应/偏离表所列出的偏差外，我方实质性响应采购文件的全部要求。如存在不一致的地方，以商务要求响应/偏离表和技术、服务要求响应/偏离表为准（第三方出具的检验、检测报告除外）。</w:t>
      </w:r>
    </w:p>
    <w:p>
      <w:pPr>
        <w:widowControl/>
        <w:adjustRightInd w:val="0"/>
        <w:snapToGrid w:val="0"/>
        <w:spacing w:line="360" w:lineRule="auto"/>
        <w:ind w:firstLine="480" w:firstLineChars="200"/>
        <w:jc w:val="left"/>
        <w:rPr>
          <w:rFonts w:ascii="Times New Roman" w:hAnsi="Times New Roman"/>
          <w:color w:val="auto"/>
          <w:sz w:val="24"/>
          <w:highlight w:val="none"/>
        </w:rPr>
      </w:pPr>
      <w:bookmarkStart w:id="136" w:name="_Toc3298167"/>
      <w:bookmarkStart w:id="137" w:name="_Toc478476802"/>
      <w:r>
        <w:rPr>
          <w:rFonts w:ascii="Times New Roman" w:hAnsi="Times New Roman"/>
          <w:color w:val="auto"/>
          <w:sz w:val="24"/>
          <w:highlight w:val="none"/>
        </w:rPr>
        <w:t>本公司对上述承诺的内容事项真实性负责。如经查实上述承诺的内容事项存在虚假，我公司愿意接受以提供虚假材料谋取成交追究法律责任。</w:t>
      </w:r>
      <w:bookmarkEnd w:id="136"/>
      <w:bookmarkEnd w:id="137"/>
    </w:p>
    <w:p>
      <w:pPr>
        <w:widowControl/>
        <w:spacing w:line="360" w:lineRule="auto"/>
        <w:jc w:val="left"/>
        <w:rPr>
          <w:rFonts w:ascii="Times New Roman" w:hAnsi="Times New Roman"/>
          <w:color w:val="auto"/>
          <w:sz w:val="24"/>
          <w:highlight w:val="none"/>
        </w:rPr>
      </w:pPr>
    </w:p>
    <w:p>
      <w:pPr>
        <w:widowControl/>
        <w:spacing w:line="360" w:lineRule="auto"/>
        <w:ind w:firstLine="470" w:firstLineChars="196"/>
        <w:jc w:val="left"/>
        <w:rPr>
          <w:rFonts w:ascii="Times New Roman" w:hAnsi="Times New Roman"/>
          <w:color w:val="auto"/>
          <w:sz w:val="24"/>
          <w:highlight w:val="none"/>
        </w:rPr>
      </w:pPr>
      <w:bookmarkStart w:id="138" w:name="_Toc478476803"/>
      <w:bookmarkStart w:id="139" w:name="_Toc3298168"/>
      <w:r>
        <w:rPr>
          <w:rFonts w:ascii="Times New Roman" w:hAnsi="Times New Roman"/>
          <w:color w:val="auto"/>
          <w:sz w:val="24"/>
          <w:highlight w:val="none"/>
        </w:rPr>
        <w:t>供应商名称：（单位公章）</w:t>
      </w:r>
      <w:bookmarkEnd w:id="138"/>
      <w:bookmarkEnd w:id="139"/>
    </w:p>
    <w:p>
      <w:pPr>
        <w:widowControl/>
        <w:spacing w:line="360" w:lineRule="auto"/>
        <w:ind w:firstLine="470" w:firstLineChars="196"/>
        <w:jc w:val="left"/>
        <w:rPr>
          <w:rFonts w:ascii="Times New Roman" w:hAnsi="Times New Roman"/>
          <w:color w:val="auto"/>
          <w:sz w:val="24"/>
          <w:highlight w:val="none"/>
        </w:rPr>
      </w:pPr>
      <w:bookmarkStart w:id="140" w:name="_Toc3298169"/>
      <w:bookmarkStart w:id="141" w:name="_Toc478476804"/>
      <w:r>
        <w:rPr>
          <w:rFonts w:ascii="Times New Roman" w:hAnsi="Times New Roman"/>
          <w:color w:val="auto"/>
          <w:sz w:val="24"/>
          <w:highlight w:val="none"/>
        </w:rPr>
        <w:t>法定代表人或授权代表（签字或签章）：</w:t>
      </w:r>
      <w:bookmarkEnd w:id="140"/>
      <w:bookmarkEnd w:id="141"/>
    </w:p>
    <w:p>
      <w:pPr>
        <w:spacing w:line="360" w:lineRule="auto"/>
        <w:ind w:right="480" w:firstLine="480"/>
        <w:jc w:val="left"/>
        <w:rPr>
          <w:rFonts w:ascii="Times New Roman" w:hAnsi="Times New Roman"/>
          <w:color w:val="auto"/>
          <w:sz w:val="24"/>
          <w:highlight w:val="none"/>
        </w:rPr>
      </w:pPr>
      <w:r>
        <w:rPr>
          <w:rFonts w:ascii="Times New Roman" w:hAnsi="Times New Roman"/>
          <w:color w:val="auto"/>
          <w:sz w:val="24"/>
          <w:highlight w:val="none"/>
        </w:rPr>
        <w:t xml:space="preserve">日 期： </w:t>
      </w:r>
    </w:p>
    <w:p>
      <w:pPr>
        <w:pStyle w:val="2"/>
        <w:rPr>
          <w:rFonts w:ascii="Times New Roman"/>
          <w:color w:val="auto"/>
          <w:sz w:val="24"/>
          <w:highlight w:val="none"/>
        </w:rPr>
      </w:pPr>
    </w:p>
    <w:p>
      <w:pPr>
        <w:pStyle w:val="2"/>
        <w:rPr>
          <w:rFonts w:ascii="Times New Roman"/>
          <w:color w:val="auto"/>
          <w:sz w:val="24"/>
          <w:highlight w:val="none"/>
        </w:rPr>
      </w:pPr>
    </w:p>
    <w:p>
      <w:pPr>
        <w:pStyle w:val="2"/>
        <w:rPr>
          <w:rFonts w:ascii="Times New Roman"/>
          <w:color w:val="auto"/>
          <w:sz w:val="24"/>
          <w:highlight w:val="none"/>
        </w:rPr>
      </w:pPr>
    </w:p>
    <w:p>
      <w:pPr>
        <w:pStyle w:val="2"/>
        <w:rPr>
          <w:rFonts w:ascii="Times New Roman"/>
          <w:color w:val="auto"/>
          <w:sz w:val="24"/>
          <w:highlight w:val="none"/>
        </w:rPr>
      </w:pPr>
    </w:p>
    <w:p>
      <w:pPr>
        <w:rPr>
          <w:rFonts w:ascii="Times New Roman" w:hAnsi="Times New Roman"/>
          <w:b/>
          <w:color w:val="auto"/>
          <w:sz w:val="24"/>
          <w:szCs w:val="24"/>
          <w:highlight w:val="none"/>
        </w:rPr>
      </w:pPr>
      <w:r>
        <w:rPr>
          <w:rFonts w:ascii="Times New Roman" w:hAnsi="Times New Roman"/>
          <w:b/>
          <w:color w:val="auto"/>
          <w:sz w:val="24"/>
          <w:szCs w:val="24"/>
          <w:highlight w:val="none"/>
        </w:rPr>
        <w:br w:type="page"/>
      </w:r>
    </w:p>
    <w:p>
      <w:pPr>
        <w:pStyle w:val="2"/>
        <w:outlineLvl w:val="2"/>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附件1-</w:t>
      </w:r>
      <w:r>
        <w:rPr>
          <w:rFonts w:hint="eastAsia" w:ascii="Times New Roman" w:cs="Times New Roman"/>
          <w:b/>
          <w:color w:val="auto"/>
          <w:sz w:val="24"/>
          <w:szCs w:val="24"/>
          <w:highlight w:val="none"/>
          <w:lang w:val="en-US" w:eastAsia="zh-CN"/>
        </w:rPr>
        <w:t>5</w:t>
      </w:r>
      <w:r>
        <w:rPr>
          <w:rFonts w:hint="eastAsia" w:ascii="Times New Roman" w:hAnsi="Times New Roman" w:eastAsia="宋体" w:cs="Times New Roman"/>
          <w:b/>
          <w:color w:val="auto"/>
          <w:sz w:val="24"/>
          <w:szCs w:val="24"/>
          <w:highlight w:val="none"/>
        </w:rPr>
        <w:t xml:space="preserve"> </w:t>
      </w:r>
    </w:p>
    <w:p>
      <w:pPr>
        <w:widowControl/>
        <w:spacing w:line="360" w:lineRule="auto"/>
        <w:jc w:val="both"/>
        <w:outlineLvl w:val="1"/>
        <w:rPr>
          <w:rFonts w:ascii="Times New Roman" w:hAnsi="Times New Roman" w:eastAsia="黑体" w:cs="Times New Roman"/>
          <w:b/>
          <w:color w:val="auto"/>
          <w:sz w:val="24"/>
          <w:szCs w:val="24"/>
          <w:highlight w:val="none"/>
        </w:rPr>
      </w:pPr>
      <w:r>
        <w:rPr>
          <w:rFonts w:hint="eastAsia" w:ascii="Times New Roman" w:hAnsi="Times New Roman" w:eastAsia="黑体" w:cs="Times New Roman"/>
          <w:b/>
          <w:color w:val="auto"/>
          <w:sz w:val="24"/>
          <w:szCs w:val="24"/>
          <w:highlight w:val="none"/>
        </w:rPr>
        <w:t>保证金缴纳情况证明。</w:t>
      </w:r>
    </w:p>
    <w:p>
      <w:pPr>
        <w:pStyle w:val="2"/>
        <w:spacing w:line="360" w:lineRule="auto"/>
        <w:rPr>
          <w:rFonts w:ascii="Arial" w:hAnsi="Arial" w:cs="Arial"/>
          <w:color w:val="auto"/>
          <w:sz w:val="24"/>
          <w:szCs w:val="24"/>
          <w:highlight w:val="none"/>
        </w:rPr>
      </w:pPr>
      <w:r>
        <w:rPr>
          <w:rFonts w:ascii="Arial" w:hAnsi="Arial" w:cs="Arial"/>
          <w:color w:val="auto"/>
          <w:sz w:val="24"/>
          <w:szCs w:val="24"/>
          <w:highlight w:val="none"/>
        </w:rPr>
        <w:t>保函原件或银行下账回单复印件（注：</w:t>
      </w:r>
      <w:r>
        <w:rPr>
          <w:rFonts w:hint="eastAsia" w:cs="宋体"/>
          <w:color w:val="auto"/>
          <w:sz w:val="24"/>
          <w:szCs w:val="24"/>
          <w:highlight w:val="none"/>
        </w:rPr>
        <w:t>①</w:t>
      </w:r>
      <w:r>
        <w:rPr>
          <w:rFonts w:ascii="Arial" w:hAnsi="Arial" w:cs="Arial"/>
          <w:color w:val="auto"/>
          <w:sz w:val="24"/>
          <w:szCs w:val="24"/>
          <w:highlight w:val="none"/>
        </w:rPr>
        <w:t>保证金交纳金额符合</w:t>
      </w:r>
      <w:r>
        <w:rPr>
          <w:rFonts w:hint="eastAsia" w:ascii="Arial" w:hAnsi="Arial" w:cs="Arial"/>
          <w:color w:val="auto"/>
          <w:sz w:val="24"/>
          <w:szCs w:val="24"/>
          <w:highlight w:val="none"/>
        </w:rPr>
        <w:t>采购</w:t>
      </w:r>
      <w:r>
        <w:rPr>
          <w:rFonts w:ascii="Arial" w:hAnsi="Arial" w:cs="Arial"/>
          <w:color w:val="auto"/>
          <w:sz w:val="24"/>
          <w:szCs w:val="24"/>
          <w:highlight w:val="none"/>
        </w:rPr>
        <w:t>文件要求。）</w:t>
      </w:r>
    </w:p>
    <w:p>
      <w:pPr>
        <w:rPr>
          <w:color w:val="auto"/>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388620</wp:posOffset>
                </wp:positionH>
                <wp:positionV relativeFrom="paragraph">
                  <wp:posOffset>806450</wp:posOffset>
                </wp:positionV>
                <wp:extent cx="5240655" cy="2437130"/>
                <wp:effectExtent l="5080" t="4445" r="1206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rPr>
                                <w:rFonts w:ascii="Arial" w:hAnsi="Arial" w:cs="Arial"/>
                              </w:rPr>
                            </w:pPr>
                          </w:p>
                          <w:p>
                            <w:pPr>
                              <w:ind w:firstLine="1920" w:firstLineChars="600"/>
                              <w:rPr>
                                <w:rFonts w:hint="eastAsia"/>
                                <w:sz w:val="32"/>
                                <w:szCs w:val="22"/>
                              </w:rPr>
                            </w:pPr>
                            <w:r>
                              <w:rPr>
                                <w:rFonts w:ascii="Arial" w:hAnsi="Arial" w:cs="Arial"/>
                                <w:sz w:val="32"/>
                                <w:szCs w:val="22"/>
                              </w:rPr>
                              <w:t>保函原件或银行下账回单复印件</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6pt;margin-top:63.5pt;height:191.9pt;width:412.65pt;z-index:251663360;v-text-anchor:middle;mso-width-relative:page;mso-height-relative:page;" fillcolor="#FFFFFF" filled="t" stroked="t" coordsize="21600,21600" o:gfxdata="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2hDls1gAAAAoB&#10;AAAPAAAAAAAAAAEAIAAAACIAAABkcnMvZG93bnJldi54bWxQSwECFAAUAAAACACHTuJAkZxQj1YC&#10;AACwBAAADgAAAAAAAAABACAAAAAlAQAAZHJzL2Uyb0RvYy54bWxQSwUGAAAAAAYABgBZAQAA7QUA&#10;AAAA&#10;">
                <v:fill on="t" focussize="0,0"/>
                <v:stroke color="#000000" miterlimit="8" joinstyle="miter" dashstyle="dash"/>
                <v:imagedata o:title=""/>
                <o:lock v:ext="edit" aspectratio="f"/>
                <v:textbox>
                  <w:txbxContent>
                    <w:p>
                      <w:pPr>
                        <w:rPr>
                          <w:rFonts w:ascii="Arial" w:hAnsi="Arial" w:cs="Arial"/>
                        </w:rPr>
                      </w:pPr>
                    </w:p>
                    <w:p>
                      <w:pPr>
                        <w:ind w:firstLine="1920" w:firstLineChars="600"/>
                        <w:rPr>
                          <w:rFonts w:hint="eastAsia"/>
                          <w:sz w:val="32"/>
                          <w:szCs w:val="22"/>
                        </w:rPr>
                      </w:pPr>
                      <w:r>
                        <w:rPr>
                          <w:rFonts w:ascii="Arial" w:hAnsi="Arial" w:cs="Arial"/>
                          <w:sz w:val="32"/>
                          <w:szCs w:val="22"/>
                        </w:rPr>
                        <w:t>保函原件或银行下账回单复印件</w:t>
                      </w:r>
                    </w:p>
                  </w:txbxContent>
                </v:textbox>
              </v:shape>
            </w:pict>
          </mc:Fallback>
        </mc:AlternateContent>
      </w:r>
    </w:p>
    <w:p>
      <w:pPr>
        <w:tabs>
          <w:tab w:val="left" w:pos="900"/>
        </w:tabs>
        <w:spacing w:line="360" w:lineRule="auto"/>
        <w:jc w:val="left"/>
        <w:rPr>
          <w:rFonts w:ascii="Arial" w:hAnsi="Arial" w:cs="Arial"/>
          <w:b/>
          <w:color w:val="auto"/>
          <w:sz w:val="28"/>
          <w:szCs w:val="28"/>
          <w:highlight w:val="none"/>
        </w:rPr>
        <w:sectPr>
          <w:pgSz w:w="11906" w:h="16838"/>
          <w:pgMar w:top="1134" w:right="1134" w:bottom="851" w:left="1474" w:header="851" w:footer="992" w:gutter="0"/>
          <w:cols w:space="720" w:num="1"/>
          <w:docGrid w:linePitch="312" w:charSpace="0"/>
        </w:sectPr>
      </w:pPr>
    </w:p>
    <w:p>
      <w:pPr>
        <w:tabs>
          <w:tab w:val="left" w:pos="900"/>
        </w:tabs>
        <w:spacing w:line="360" w:lineRule="auto"/>
        <w:jc w:val="center"/>
        <w:outlineLvl w:val="1"/>
        <w:rPr>
          <w:rFonts w:ascii="Times New Roman" w:hAnsi="Times New Roman"/>
          <w:b/>
          <w:color w:val="auto"/>
          <w:sz w:val="24"/>
          <w:szCs w:val="24"/>
          <w:highlight w:val="none"/>
        </w:rPr>
      </w:pPr>
      <w:bookmarkStart w:id="142" w:name="_Toc116"/>
      <w:r>
        <w:rPr>
          <w:rFonts w:ascii="Times New Roman" w:hAnsi="Times New Roman"/>
          <w:b/>
          <w:color w:val="auto"/>
          <w:sz w:val="28"/>
          <w:szCs w:val="28"/>
          <w:highlight w:val="none"/>
        </w:rPr>
        <w:t>二、响 应 函</w:t>
      </w:r>
      <w:bookmarkEnd w:id="142"/>
    </w:p>
    <w:p>
      <w:pPr>
        <w:spacing w:line="360" w:lineRule="auto"/>
        <w:jc w:val="center"/>
        <w:rPr>
          <w:rFonts w:ascii="Times New Roman" w:hAnsi="Times New Roman"/>
          <w:b/>
          <w:color w:val="auto"/>
          <w:sz w:val="24"/>
          <w:szCs w:val="24"/>
          <w:highlight w:val="none"/>
        </w:rPr>
      </w:pPr>
    </w:p>
    <w:p>
      <w:pPr>
        <w:pStyle w:val="25"/>
        <w:rPr>
          <w:rFonts w:ascii="Times New Roman" w:hAnsi="Times New Roman"/>
          <w:color w:val="auto"/>
          <w:highlight w:val="none"/>
        </w:rPr>
      </w:pPr>
      <w:r>
        <w:rPr>
          <w:rFonts w:ascii="Times New Roman" w:hAnsi="Times New Roman"/>
          <w:color w:val="auto"/>
          <w:highlight w:val="none"/>
        </w:rPr>
        <w:t>致：</w:t>
      </w:r>
      <w:r>
        <w:rPr>
          <w:rFonts w:ascii="Times New Roman" w:hAnsi="Times New Roman"/>
          <w:bCs/>
          <w:color w:val="auto"/>
          <w:highlight w:val="none"/>
        </w:rPr>
        <w:t>（采购代理机构名称）</w:t>
      </w:r>
    </w:p>
    <w:p>
      <w:pPr>
        <w:autoSpaceDE w:val="0"/>
        <w:autoSpaceDN w:val="0"/>
        <w:snapToGrid w:val="0"/>
        <w:spacing w:line="360" w:lineRule="auto"/>
        <w:ind w:firstLine="360" w:firstLineChars="150"/>
        <w:rPr>
          <w:rFonts w:ascii="Times New Roman" w:hAnsi="Times New Roman"/>
          <w:color w:val="auto"/>
          <w:sz w:val="24"/>
          <w:szCs w:val="24"/>
          <w:highlight w:val="none"/>
          <w:u w:val="single"/>
        </w:rPr>
      </w:pPr>
      <w:r>
        <w:rPr>
          <w:rFonts w:ascii="Times New Roman" w:hAnsi="Times New Roman"/>
          <w:color w:val="auto"/>
          <w:sz w:val="24"/>
          <w:szCs w:val="24"/>
          <w:highlight w:val="none"/>
        </w:rPr>
        <w:t>根据贵方</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项目，编号为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的</w:t>
      </w:r>
      <w:r>
        <w:rPr>
          <w:rFonts w:ascii="Times New Roman" w:hAnsi="Times New Roman"/>
          <w:color w:val="auto"/>
          <w:sz w:val="24"/>
          <w:highlight w:val="none"/>
        </w:rPr>
        <w:t>竞争性磋商</w:t>
      </w:r>
      <w:r>
        <w:rPr>
          <w:rFonts w:ascii="Times New Roman" w:hAnsi="Times New Roman"/>
          <w:color w:val="auto"/>
          <w:sz w:val="24"/>
          <w:szCs w:val="24"/>
          <w:highlight w:val="none"/>
        </w:rPr>
        <w:t>邀请，正式授权的下述签字人</w:t>
      </w:r>
      <w:r>
        <w:rPr>
          <w:rFonts w:ascii="Times New Roman" w:hAnsi="Times New Roman"/>
          <w:color w:val="auto"/>
          <w:sz w:val="24"/>
          <w:szCs w:val="24"/>
          <w:highlight w:val="none"/>
          <w:u w:val="single"/>
        </w:rPr>
        <w:t xml:space="preserve">       (姓名和职务)     </w:t>
      </w:r>
      <w:r>
        <w:rPr>
          <w:rFonts w:ascii="Times New Roman" w:hAnsi="Times New Roman"/>
          <w:color w:val="auto"/>
          <w:sz w:val="24"/>
          <w:szCs w:val="24"/>
          <w:highlight w:val="none"/>
        </w:rPr>
        <w:t>代表供应商</w:t>
      </w:r>
      <w:r>
        <w:rPr>
          <w:rFonts w:ascii="Times New Roman" w:hAnsi="Times New Roman"/>
          <w:color w:val="auto"/>
          <w:sz w:val="24"/>
          <w:szCs w:val="24"/>
          <w:highlight w:val="none"/>
          <w:u w:val="single"/>
        </w:rPr>
        <w:t>(供应商的名称)</w:t>
      </w:r>
      <w:r>
        <w:rPr>
          <w:rFonts w:ascii="Times New Roman" w:hAnsi="Times New Roman"/>
          <w:color w:val="auto"/>
          <w:sz w:val="24"/>
          <w:szCs w:val="24"/>
          <w:highlight w:val="none"/>
        </w:rPr>
        <w:t>，提交文件正本</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份，副本</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份。</w:t>
      </w:r>
    </w:p>
    <w:p>
      <w:pPr>
        <w:autoSpaceDE w:val="0"/>
        <w:autoSpaceDN w:val="0"/>
        <w:snapToGrid w:val="0"/>
        <w:spacing w:line="360" w:lineRule="auto"/>
        <w:ind w:firstLine="571" w:firstLineChars="238"/>
        <w:rPr>
          <w:rFonts w:ascii="Times New Roman" w:hAnsi="Times New Roman"/>
          <w:color w:val="auto"/>
          <w:sz w:val="24"/>
          <w:szCs w:val="24"/>
          <w:highlight w:val="none"/>
        </w:rPr>
      </w:pPr>
      <w:r>
        <w:rPr>
          <w:rFonts w:ascii="Times New Roman" w:hAnsi="Times New Roman"/>
          <w:color w:val="auto"/>
          <w:sz w:val="24"/>
          <w:szCs w:val="24"/>
          <w:highlight w:val="none"/>
        </w:rPr>
        <w:t>据此函，签字人兹宣布同意如下：</w:t>
      </w:r>
    </w:p>
    <w:p>
      <w:pPr>
        <w:autoSpaceDE w:val="0"/>
        <w:autoSpaceDN w:val="0"/>
        <w:snapToGrid w:val="0"/>
        <w:spacing w:line="360" w:lineRule="auto"/>
        <w:ind w:left="398" w:hanging="398" w:hangingChars="166"/>
        <w:rPr>
          <w:rFonts w:ascii="Times New Roman" w:hAnsi="Times New Roman"/>
          <w:color w:val="auto"/>
          <w:sz w:val="24"/>
          <w:szCs w:val="24"/>
          <w:highlight w:val="none"/>
          <w:u w:val="single"/>
        </w:rPr>
      </w:pPr>
      <w:r>
        <w:rPr>
          <w:rFonts w:ascii="Times New Roman" w:hAnsi="Times New Roman"/>
          <w:color w:val="auto"/>
          <w:sz w:val="24"/>
          <w:szCs w:val="24"/>
          <w:highlight w:val="none"/>
        </w:rPr>
        <w:t>(1) 我方自愿按照</w:t>
      </w:r>
      <w:r>
        <w:rPr>
          <w:rFonts w:ascii="Times New Roman" w:hAnsi="Times New Roman"/>
          <w:color w:val="auto"/>
          <w:sz w:val="24"/>
          <w:highlight w:val="none"/>
        </w:rPr>
        <w:t>竞争性磋商</w:t>
      </w:r>
      <w:r>
        <w:rPr>
          <w:rFonts w:ascii="Times New Roman" w:hAnsi="Times New Roman"/>
          <w:color w:val="auto"/>
          <w:sz w:val="24"/>
          <w:szCs w:val="24"/>
          <w:highlight w:val="none"/>
        </w:rPr>
        <w:t>文件规定的各项要求向采购人提供所需货物及服务，本次</w:t>
      </w:r>
      <w:r>
        <w:rPr>
          <w:rFonts w:ascii="Times New Roman" w:hAnsi="Times New Roman"/>
          <w:color w:val="auto"/>
          <w:sz w:val="24"/>
          <w:highlight w:val="none"/>
        </w:rPr>
        <w:t>竞争性磋商</w:t>
      </w:r>
      <w:r>
        <w:rPr>
          <w:rFonts w:ascii="Times New Roman" w:hAnsi="Times New Roman"/>
          <w:color w:val="auto"/>
          <w:sz w:val="24"/>
          <w:szCs w:val="24"/>
          <w:highlight w:val="none"/>
        </w:rPr>
        <w:t>税率为</w:t>
      </w:r>
      <w:r>
        <w:rPr>
          <w:rFonts w:ascii="Times New Roman" w:hAnsi="Times New Roman"/>
          <w:color w:val="auto"/>
          <w:sz w:val="24"/>
          <w:szCs w:val="24"/>
          <w:highlight w:val="none"/>
          <w:u w:val="single"/>
        </w:rPr>
        <w:t xml:space="preserve">     </w:t>
      </w:r>
      <w:r>
        <w:rPr>
          <w:rFonts w:ascii="Times New Roman" w:hAnsi="Times New Roman"/>
          <w:color w:val="auto"/>
          <w:sz w:val="24"/>
          <w:szCs w:val="24"/>
          <w:highlight w:val="none"/>
        </w:rPr>
        <w:t>。</w:t>
      </w:r>
    </w:p>
    <w:p>
      <w:pPr>
        <w:autoSpaceDE w:val="0"/>
        <w:autoSpaceDN w:val="0"/>
        <w:snapToGrid w:val="0"/>
        <w:spacing w:line="360" w:lineRule="auto"/>
        <w:ind w:left="398" w:hanging="398" w:hangingChars="166"/>
        <w:rPr>
          <w:rFonts w:ascii="Times New Roman" w:hAnsi="Times New Roman"/>
          <w:color w:val="auto"/>
          <w:sz w:val="24"/>
          <w:szCs w:val="24"/>
          <w:highlight w:val="none"/>
        </w:rPr>
      </w:pPr>
      <w:r>
        <w:rPr>
          <w:rFonts w:ascii="Times New Roman" w:hAnsi="Times New Roman"/>
          <w:color w:val="auto"/>
          <w:sz w:val="24"/>
          <w:szCs w:val="24"/>
          <w:highlight w:val="none"/>
        </w:rPr>
        <w:t>(2) 我们根据</w:t>
      </w:r>
      <w:r>
        <w:rPr>
          <w:rFonts w:ascii="Times New Roman" w:hAnsi="Times New Roman"/>
          <w:color w:val="auto"/>
          <w:sz w:val="24"/>
          <w:highlight w:val="none"/>
        </w:rPr>
        <w:t>竞争性磋商</w:t>
      </w:r>
      <w:r>
        <w:rPr>
          <w:rFonts w:ascii="Times New Roman" w:hAnsi="Times New Roman"/>
          <w:color w:val="auto"/>
          <w:sz w:val="24"/>
          <w:szCs w:val="24"/>
          <w:highlight w:val="none"/>
        </w:rPr>
        <w:t>文件的规定，承担完成合同的责任和义务。</w:t>
      </w:r>
    </w:p>
    <w:p>
      <w:pPr>
        <w:autoSpaceDE w:val="0"/>
        <w:autoSpaceDN w:val="0"/>
        <w:snapToGrid w:val="0"/>
        <w:spacing w:line="360" w:lineRule="auto"/>
        <w:ind w:left="398" w:hanging="398" w:hangingChars="166"/>
        <w:rPr>
          <w:rFonts w:ascii="Times New Roman" w:hAnsi="Times New Roman"/>
          <w:color w:val="auto"/>
          <w:sz w:val="24"/>
          <w:szCs w:val="24"/>
          <w:highlight w:val="none"/>
        </w:rPr>
      </w:pPr>
      <w:r>
        <w:rPr>
          <w:rFonts w:ascii="Times New Roman" w:hAnsi="Times New Roman"/>
          <w:color w:val="auto"/>
          <w:sz w:val="24"/>
          <w:szCs w:val="24"/>
          <w:highlight w:val="none"/>
        </w:rPr>
        <w:t>(3) 我们已详细审核全部</w:t>
      </w:r>
      <w:r>
        <w:rPr>
          <w:rFonts w:ascii="Times New Roman" w:hAnsi="Times New Roman"/>
          <w:color w:val="auto"/>
          <w:sz w:val="24"/>
          <w:highlight w:val="none"/>
        </w:rPr>
        <w:t>竞争性磋商</w:t>
      </w:r>
      <w:r>
        <w:rPr>
          <w:rFonts w:ascii="Times New Roman" w:hAnsi="Times New Roman"/>
          <w:color w:val="auto"/>
          <w:sz w:val="24"/>
          <w:szCs w:val="24"/>
          <w:highlight w:val="none"/>
        </w:rPr>
        <w:t>文件，包括</w:t>
      </w:r>
      <w:r>
        <w:rPr>
          <w:rFonts w:ascii="Times New Roman" w:hAnsi="Times New Roman"/>
          <w:color w:val="auto"/>
          <w:sz w:val="24"/>
          <w:highlight w:val="none"/>
        </w:rPr>
        <w:t>竞争性磋商</w:t>
      </w:r>
      <w:r>
        <w:rPr>
          <w:rFonts w:ascii="Times New Roman" w:hAnsi="Times New Roman"/>
          <w:color w:val="auto"/>
          <w:sz w:val="24"/>
          <w:szCs w:val="24"/>
          <w:highlight w:val="none"/>
        </w:rPr>
        <w:t>文件修改书(如果有的话)，参考资料及有关附件，我们完全理解并放弃提出含糊不清或误解的问题的权利。</w:t>
      </w:r>
    </w:p>
    <w:p>
      <w:pPr>
        <w:autoSpaceDE w:val="0"/>
        <w:autoSpaceDN w:val="0"/>
        <w:snapToGrid w:val="0"/>
        <w:spacing w:line="360" w:lineRule="auto"/>
        <w:ind w:left="398" w:hanging="398" w:hangingChars="166"/>
        <w:rPr>
          <w:rFonts w:ascii="Times New Roman" w:hAnsi="Times New Roman"/>
          <w:color w:val="auto"/>
          <w:sz w:val="24"/>
          <w:szCs w:val="24"/>
          <w:highlight w:val="none"/>
        </w:rPr>
      </w:pPr>
      <w:r>
        <w:rPr>
          <w:rFonts w:ascii="Times New Roman" w:hAnsi="Times New Roman"/>
          <w:color w:val="auto"/>
          <w:sz w:val="24"/>
          <w:szCs w:val="24"/>
          <w:highlight w:val="none"/>
        </w:rPr>
        <w:t>(4) 本报价有效期为自报价截止之日起</w:t>
      </w:r>
      <w:r>
        <w:rPr>
          <w:rFonts w:ascii="Times New Roman" w:hAnsi="Times New Roman"/>
          <w:color w:val="auto"/>
          <w:sz w:val="24"/>
          <w:szCs w:val="24"/>
          <w:highlight w:val="none"/>
          <w:u w:val="single"/>
        </w:rPr>
        <w:t>90</w:t>
      </w:r>
      <w:r>
        <w:rPr>
          <w:rFonts w:ascii="Times New Roman" w:hAnsi="Times New Roman"/>
          <w:color w:val="auto"/>
          <w:sz w:val="24"/>
          <w:szCs w:val="24"/>
          <w:highlight w:val="none"/>
        </w:rPr>
        <w:t>日。报价有效期满之前均具有约束力。</w:t>
      </w:r>
    </w:p>
    <w:p>
      <w:pPr>
        <w:autoSpaceDE w:val="0"/>
        <w:autoSpaceDN w:val="0"/>
        <w:snapToGrid w:val="0"/>
        <w:spacing w:line="360" w:lineRule="auto"/>
        <w:ind w:left="398" w:hanging="398" w:hangingChars="166"/>
        <w:rPr>
          <w:rFonts w:ascii="Times New Roman" w:hAnsi="Times New Roman"/>
          <w:color w:val="auto"/>
          <w:sz w:val="24"/>
          <w:szCs w:val="24"/>
          <w:highlight w:val="none"/>
        </w:rPr>
      </w:pPr>
      <w:r>
        <w:rPr>
          <w:rFonts w:ascii="Times New Roman" w:hAnsi="Times New Roman"/>
          <w:color w:val="auto"/>
          <w:sz w:val="24"/>
          <w:szCs w:val="24"/>
          <w:highlight w:val="none"/>
        </w:rPr>
        <w:t>(5) 同意按</w:t>
      </w:r>
      <w:r>
        <w:rPr>
          <w:rFonts w:ascii="Times New Roman" w:hAnsi="Times New Roman"/>
          <w:color w:val="auto"/>
          <w:sz w:val="24"/>
          <w:highlight w:val="none"/>
        </w:rPr>
        <w:t>竞争性磋商</w:t>
      </w:r>
      <w:r>
        <w:rPr>
          <w:rFonts w:ascii="Times New Roman" w:hAnsi="Times New Roman"/>
          <w:color w:val="auto"/>
          <w:sz w:val="24"/>
          <w:szCs w:val="24"/>
          <w:highlight w:val="none"/>
        </w:rPr>
        <w:t>须知中关于不予退还</w:t>
      </w:r>
      <w:r>
        <w:rPr>
          <w:rFonts w:ascii="Times New Roman" w:hAnsi="Times New Roman"/>
          <w:color w:val="auto"/>
          <w:sz w:val="24"/>
          <w:highlight w:val="none"/>
        </w:rPr>
        <w:t>竞争性磋商</w:t>
      </w:r>
      <w:r>
        <w:rPr>
          <w:rFonts w:ascii="Times New Roman" w:hAnsi="Times New Roman"/>
          <w:color w:val="auto"/>
          <w:sz w:val="24"/>
          <w:szCs w:val="24"/>
          <w:highlight w:val="none"/>
        </w:rPr>
        <w:t>保证金的规定。</w:t>
      </w:r>
    </w:p>
    <w:p>
      <w:pPr>
        <w:autoSpaceDE w:val="0"/>
        <w:autoSpaceDN w:val="0"/>
        <w:snapToGrid w:val="0"/>
        <w:spacing w:line="360" w:lineRule="auto"/>
        <w:ind w:left="398" w:hanging="398" w:hangingChars="166"/>
        <w:rPr>
          <w:rFonts w:ascii="Times New Roman" w:hAnsi="Times New Roman"/>
          <w:color w:val="auto"/>
          <w:sz w:val="24"/>
          <w:szCs w:val="24"/>
          <w:highlight w:val="none"/>
        </w:rPr>
      </w:pPr>
      <w:r>
        <w:rPr>
          <w:rFonts w:ascii="Times New Roman" w:hAnsi="Times New Roman"/>
          <w:color w:val="auto"/>
          <w:sz w:val="24"/>
          <w:szCs w:val="24"/>
          <w:highlight w:val="none"/>
        </w:rPr>
        <w:t>(6)同意向贵方提供贵方可能要求的与本报价有关任何证据或资料。</w:t>
      </w:r>
    </w:p>
    <w:p>
      <w:pPr>
        <w:autoSpaceDE w:val="0"/>
        <w:autoSpaceDN w:val="0"/>
        <w:snapToGrid w:val="0"/>
        <w:spacing w:line="360" w:lineRule="auto"/>
        <w:ind w:left="398" w:hanging="398" w:hangingChars="166"/>
        <w:rPr>
          <w:rFonts w:ascii="Times New Roman" w:hAnsi="Times New Roman"/>
          <w:color w:val="auto"/>
          <w:sz w:val="24"/>
          <w:szCs w:val="24"/>
          <w:highlight w:val="none"/>
        </w:rPr>
      </w:pPr>
      <w:r>
        <w:rPr>
          <w:rFonts w:ascii="Times New Roman" w:hAnsi="Times New Roman"/>
          <w:color w:val="auto"/>
          <w:sz w:val="24"/>
          <w:szCs w:val="24"/>
          <w:highlight w:val="none"/>
        </w:rPr>
        <w:t>(7) 如果我方成交，我方保证按照</w:t>
      </w:r>
      <w:r>
        <w:rPr>
          <w:rFonts w:ascii="Times New Roman" w:hAnsi="Times New Roman"/>
          <w:color w:val="auto"/>
          <w:sz w:val="24"/>
          <w:highlight w:val="none"/>
        </w:rPr>
        <w:t>竞争性磋商</w:t>
      </w:r>
      <w:r>
        <w:rPr>
          <w:rFonts w:ascii="Times New Roman" w:hAnsi="Times New Roman"/>
          <w:color w:val="auto"/>
          <w:sz w:val="24"/>
          <w:szCs w:val="24"/>
          <w:highlight w:val="none"/>
        </w:rPr>
        <w:t>文件的规定向贵方交纳代理服务费。</w:t>
      </w:r>
    </w:p>
    <w:p>
      <w:pPr>
        <w:autoSpaceDE w:val="0"/>
        <w:autoSpaceDN w:val="0"/>
        <w:snapToGrid w:val="0"/>
        <w:spacing w:line="360" w:lineRule="auto"/>
        <w:ind w:left="398" w:hanging="398" w:hangingChars="166"/>
        <w:rPr>
          <w:rFonts w:ascii="Times New Roman" w:hAnsi="Times New Roman"/>
          <w:color w:val="auto"/>
          <w:sz w:val="24"/>
          <w:szCs w:val="24"/>
          <w:highlight w:val="none"/>
        </w:rPr>
      </w:pPr>
      <w:r>
        <w:rPr>
          <w:rFonts w:ascii="Times New Roman" w:hAnsi="Times New Roman"/>
          <w:color w:val="auto"/>
          <w:sz w:val="24"/>
          <w:szCs w:val="24"/>
          <w:highlight w:val="none"/>
        </w:rPr>
        <w:t xml:space="preserve">(8) </w:t>
      </w:r>
      <w:r>
        <w:rPr>
          <w:rFonts w:ascii="Times New Roman" w:hAnsi="Times New Roman"/>
          <w:bCs/>
          <w:color w:val="auto"/>
          <w:sz w:val="24"/>
          <w:szCs w:val="24"/>
          <w:highlight w:val="none"/>
        </w:rPr>
        <w:t>我方完全理解采购人</w:t>
      </w:r>
      <w:r>
        <w:rPr>
          <w:rFonts w:ascii="Times New Roman" w:hAnsi="Times New Roman"/>
          <w:color w:val="auto"/>
          <w:sz w:val="24"/>
          <w:szCs w:val="24"/>
          <w:highlight w:val="none"/>
        </w:rPr>
        <w:t>不一定接受最低报价或收到的任何报价</w:t>
      </w:r>
      <w:r>
        <w:rPr>
          <w:rFonts w:ascii="Times New Roman" w:hAnsi="Times New Roman"/>
          <w:bCs/>
          <w:color w:val="auto"/>
          <w:sz w:val="24"/>
          <w:szCs w:val="24"/>
          <w:highlight w:val="none"/>
        </w:rPr>
        <w:t>。</w:t>
      </w:r>
    </w:p>
    <w:p>
      <w:pPr>
        <w:autoSpaceDE w:val="0"/>
        <w:autoSpaceDN w:val="0"/>
        <w:snapToGrid w:val="0"/>
        <w:spacing w:line="360" w:lineRule="auto"/>
        <w:ind w:left="398" w:hanging="398" w:hangingChars="166"/>
        <w:rPr>
          <w:rFonts w:ascii="Times New Roman" w:hAnsi="Times New Roman"/>
          <w:color w:val="auto"/>
          <w:sz w:val="24"/>
          <w:szCs w:val="24"/>
          <w:highlight w:val="none"/>
        </w:rPr>
      </w:pPr>
      <w:r>
        <w:rPr>
          <w:rFonts w:ascii="Times New Roman" w:hAnsi="Times New Roman"/>
          <w:color w:val="auto"/>
          <w:sz w:val="24"/>
          <w:szCs w:val="24"/>
          <w:highlight w:val="none"/>
        </w:rPr>
        <w:t>(9) 与本报价有关的正式通讯地址为：</w:t>
      </w:r>
    </w:p>
    <w:p>
      <w:pPr>
        <w:pStyle w:val="28"/>
        <w:spacing w:line="360" w:lineRule="auto"/>
        <w:ind w:left="0" w:firstLine="0"/>
        <w:rPr>
          <w:rFonts w:ascii="Times New Roman"/>
          <w:bCs/>
          <w:color w:val="auto"/>
          <w:sz w:val="24"/>
          <w:szCs w:val="24"/>
          <w:highlight w:val="none"/>
        </w:rPr>
      </w:pPr>
      <w:r>
        <w:rPr>
          <w:rFonts w:ascii="Times New Roman"/>
          <w:bCs/>
          <w:color w:val="auto"/>
          <w:sz w:val="24"/>
          <w:szCs w:val="24"/>
          <w:highlight w:val="none"/>
        </w:rPr>
        <w:t>通讯地址：</w:t>
      </w:r>
    </w:p>
    <w:p>
      <w:pPr>
        <w:pStyle w:val="28"/>
        <w:spacing w:line="360" w:lineRule="auto"/>
        <w:ind w:left="0" w:firstLine="0"/>
        <w:rPr>
          <w:rFonts w:ascii="Times New Roman"/>
          <w:bCs/>
          <w:color w:val="auto"/>
          <w:sz w:val="24"/>
          <w:szCs w:val="24"/>
          <w:highlight w:val="none"/>
        </w:rPr>
      </w:pPr>
      <w:r>
        <w:rPr>
          <w:rFonts w:ascii="Times New Roman"/>
          <w:bCs/>
          <w:color w:val="auto"/>
          <w:sz w:val="24"/>
          <w:szCs w:val="24"/>
          <w:highlight w:val="none"/>
        </w:rPr>
        <w:t>邮政编码：</w:t>
      </w:r>
    </w:p>
    <w:p>
      <w:pPr>
        <w:pStyle w:val="28"/>
        <w:spacing w:line="360" w:lineRule="auto"/>
        <w:ind w:left="0" w:firstLine="0"/>
        <w:rPr>
          <w:rFonts w:ascii="Times New Roman"/>
          <w:bCs/>
          <w:color w:val="auto"/>
          <w:sz w:val="24"/>
          <w:szCs w:val="24"/>
          <w:highlight w:val="none"/>
        </w:rPr>
      </w:pPr>
      <w:r>
        <w:rPr>
          <w:rFonts w:ascii="Times New Roman"/>
          <w:bCs/>
          <w:color w:val="auto"/>
          <w:sz w:val="24"/>
          <w:szCs w:val="24"/>
          <w:highlight w:val="none"/>
        </w:rPr>
        <w:t>联系电话：</w:t>
      </w:r>
    </w:p>
    <w:p>
      <w:pPr>
        <w:autoSpaceDE w:val="0"/>
        <w:autoSpaceDN w:val="0"/>
        <w:snapToGrid w:val="0"/>
        <w:spacing w:line="360" w:lineRule="auto"/>
        <w:ind w:left="398" w:hanging="398" w:hangingChars="166"/>
        <w:rPr>
          <w:rFonts w:ascii="Times New Roman" w:hAnsi="Times New Roman"/>
          <w:color w:val="auto"/>
          <w:sz w:val="24"/>
          <w:szCs w:val="24"/>
          <w:highlight w:val="none"/>
        </w:rPr>
      </w:pPr>
    </w:p>
    <w:p>
      <w:pPr>
        <w:spacing w:line="360" w:lineRule="auto"/>
        <w:rPr>
          <w:rFonts w:ascii="Times New Roman" w:hAnsi="Times New Roman"/>
          <w:color w:val="auto"/>
          <w:sz w:val="24"/>
          <w:szCs w:val="24"/>
          <w:highlight w:val="none"/>
        </w:rPr>
      </w:pPr>
    </w:p>
    <w:p>
      <w:pPr>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w:t>
      </w:r>
      <w:r>
        <w:rPr>
          <w:rFonts w:ascii="Times New Roman" w:hAnsi="Times New Roman"/>
          <w:color w:val="auto"/>
          <w:sz w:val="24"/>
          <w:szCs w:val="24"/>
          <w:highlight w:val="none"/>
          <w:u w:val="single"/>
        </w:rPr>
        <w:t>（全称并加盖公章）</w:t>
      </w:r>
    </w:p>
    <w:p>
      <w:pPr>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法定代表人或授权代表（签字或签章）</w:t>
      </w:r>
      <w:r>
        <w:rPr>
          <w:rFonts w:ascii="Times New Roman" w:hAnsi="Times New Roman"/>
          <w:bCs/>
          <w:color w:val="auto"/>
          <w:sz w:val="24"/>
          <w:szCs w:val="24"/>
          <w:highlight w:val="none"/>
        </w:rPr>
        <w:t>：</w:t>
      </w:r>
    </w:p>
    <w:p>
      <w:pPr>
        <w:spacing w:line="360" w:lineRule="auto"/>
        <w:rPr>
          <w:rFonts w:ascii="Times New Roman" w:hAnsi="Times New Roman"/>
          <w:color w:val="auto"/>
          <w:sz w:val="24"/>
          <w:szCs w:val="24"/>
          <w:highlight w:val="none"/>
        </w:rPr>
        <w:sectPr>
          <w:pgSz w:w="11906" w:h="16838"/>
          <w:pgMar w:top="1134" w:right="1134" w:bottom="851" w:left="1474" w:header="851" w:footer="992" w:gutter="0"/>
          <w:cols w:space="720" w:num="1"/>
          <w:docGrid w:linePitch="312" w:charSpace="0"/>
        </w:sectPr>
      </w:pPr>
      <w:r>
        <w:rPr>
          <w:rFonts w:ascii="Times New Roman" w:hAnsi="Times New Roman"/>
          <w:color w:val="auto"/>
          <w:sz w:val="24"/>
          <w:szCs w:val="24"/>
          <w:highlight w:val="none"/>
        </w:rPr>
        <w:t>日期：</w:t>
      </w:r>
    </w:p>
    <w:p>
      <w:pPr>
        <w:tabs>
          <w:tab w:val="left" w:pos="900"/>
        </w:tabs>
        <w:spacing w:line="360" w:lineRule="auto"/>
        <w:jc w:val="center"/>
        <w:rPr>
          <w:rFonts w:ascii="宋体" w:hAnsi="宋体" w:eastAsia="宋体" w:cs="宋体"/>
          <w:b/>
          <w:color w:val="auto"/>
          <w:sz w:val="24"/>
          <w:szCs w:val="24"/>
          <w:highlight w:val="none"/>
        </w:rPr>
      </w:pPr>
      <w:bookmarkStart w:id="143" w:name="_Toc235856886"/>
      <w:r>
        <w:rPr>
          <w:rFonts w:ascii="Times New Roman" w:hAnsi="Times New Roman"/>
          <w:b/>
          <w:color w:val="auto"/>
          <w:sz w:val="28"/>
          <w:szCs w:val="28"/>
          <w:highlight w:val="none"/>
        </w:rPr>
        <w:t>三、</w:t>
      </w:r>
      <w:bookmarkEnd w:id="143"/>
      <w:r>
        <w:rPr>
          <w:rFonts w:hint="eastAsia" w:ascii="宋体" w:hAnsi="宋体" w:eastAsia="宋体" w:cs="宋体"/>
          <w:b/>
          <w:color w:val="auto"/>
          <w:sz w:val="28"/>
          <w:szCs w:val="28"/>
          <w:highlight w:val="none"/>
        </w:rPr>
        <w:t>报价一览表</w:t>
      </w:r>
    </w:p>
    <w:tbl>
      <w:tblPr>
        <w:tblStyle w:val="46"/>
        <w:tblW w:w="91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3"/>
        <w:gridCol w:w="618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2973" w:type="dxa"/>
            <w:tcBorders>
              <w:top w:val="double" w:color="000000" w:sz="6" w:space="0"/>
              <w:left w:val="double" w:color="000000" w:sz="6" w:space="0"/>
              <w:bottom w:val="single" w:color="000000" w:sz="6" w:space="0"/>
              <w:right w:val="single" w:color="000000" w:sz="6" w:space="0"/>
            </w:tcBorders>
            <w:noWrap w:val="0"/>
            <w:vAlign w:val="center"/>
          </w:tcPr>
          <w:p>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项目名称</w:t>
            </w:r>
          </w:p>
        </w:tc>
        <w:tc>
          <w:tcPr>
            <w:tcW w:w="6184" w:type="dxa"/>
            <w:tcBorders>
              <w:top w:val="double" w:color="000000" w:sz="6" w:space="0"/>
              <w:left w:val="single" w:color="000000" w:sz="6" w:space="0"/>
              <w:bottom w:val="single" w:color="000000" w:sz="6" w:space="0"/>
              <w:right w:val="double" w:color="000000" w:sz="6" w:space="0"/>
            </w:tcBorders>
            <w:noWrap w:val="0"/>
            <w:vAlign w:val="center"/>
          </w:tcPr>
          <w:p>
            <w:pPr>
              <w:snapToGrid w:val="0"/>
              <w:jc w:val="center"/>
              <w:rPr>
                <w:rFonts w:ascii="Times New Roman" w:hAnsi="Times New Roman" w:eastAsia="宋体" w:cs="Times New Roman"/>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2973"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项目编号</w:t>
            </w:r>
          </w:p>
        </w:tc>
        <w:tc>
          <w:tcPr>
            <w:tcW w:w="6184"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ascii="Times New Roman" w:hAnsi="Times New Roman" w:eastAsia="宋体" w:cs="Times New Roman"/>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2973"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供应商全称</w:t>
            </w:r>
          </w:p>
        </w:tc>
        <w:tc>
          <w:tcPr>
            <w:tcW w:w="6184"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ascii="Times New Roman" w:hAnsi="Times New Roman" w:eastAsia="宋体" w:cs="Times New Roman"/>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28" w:hRule="atLeast"/>
          <w:jc w:val="center"/>
        </w:trPr>
        <w:tc>
          <w:tcPr>
            <w:tcW w:w="2973" w:type="dxa"/>
            <w:tcBorders>
              <w:top w:val="single" w:color="auto" w:sz="4" w:space="0"/>
              <w:left w:val="double" w:color="000000" w:sz="6" w:space="0"/>
              <w:bottom w:val="single" w:color="auto" w:sz="4"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总报价</w:t>
            </w:r>
          </w:p>
        </w:tc>
        <w:tc>
          <w:tcPr>
            <w:tcW w:w="6184" w:type="dxa"/>
            <w:tcBorders>
              <w:top w:val="single" w:color="000000" w:sz="6" w:space="0"/>
              <w:left w:val="single" w:color="000000" w:sz="6" w:space="0"/>
              <w:bottom w:val="single" w:color="000000" w:sz="6" w:space="0"/>
              <w:right w:val="double" w:color="000000" w:sz="6" w:space="0"/>
            </w:tcBorders>
            <w:noWrap w:val="0"/>
            <w:vAlign w:val="bottom"/>
          </w:tcPr>
          <w:p>
            <w:pPr>
              <w:snapToGrid w:val="0"/>
              <w:spacing w:line="500" w:lineRule="exact"/>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（大写）</w:t>
            </w:r>
          </w:p>
          <w:p>
            <w:pPr>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ascii="Times New Roman" w:hAnsi="Times New Roman" w:eastAsia="宋体" w:cs="Times New Roman"/>
                <w:color w:val="auto"/>
                <w:sz w:val="24"/>
                <w:highlight w:val="none"/>
              </w:rPr>
            </w:pPr>
            <w:r>
              <w:rPr>
                <w:rFonts w:hint="eastAsia" w:ascii="宋体" w:hAnsi="宋体" w:eastAsia="宋体" w:cs="宋体"/>
                <w:color w:val="auto"/>
                <w:sz w:val="24"/>
                <w:szCs w:val="24"/>
                <w:highlight w:val="none"/>
              </w:rPr>
              <w:t xml:space="preserve">                  （小写）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jc w:val="center"/>
        </w:trPr>
        <w:tc>
          <w:tcPr>
            <w:tcW w:w="2973"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合同履行期限</w:t>
            </w:r>
          </w:p>
        </w:tc>
        <w:tc>
          <w:tcPr>
            <w:tcW w:w="6184" w:type="dxa"/>
            <w:tcBorders>
              <w:top w:val="single" w:color="000000" w:sz="6" w:space="0"/>
              <w:left w:val="single" w:color="000000" w:sz="6" w:space="0"/>
              <w:bottom w:val="single" w:color="000000" w:sz="6" w:space="0"/>
              <w:right w:val="double" w:color="000000" w:sz="6" w:space="0"/>
            </w:tcBorders>
            <w:noWrap w:val="0"/>
            <w:vAlign w:val="center"/>
          </w:tcPr>
          <w:p>
            <w:pPr>
              <w:wordWrap w:val="0"/>
              <w:snapToGrid w:val="0"/>
              <w:jc w:val="center"/>
              <w:rPr>
                <w:rFonts w:ascii="Times New Roman" w:hAnsi="Times New Roman" w:eastAsia="宋体" w:cs="Times New Roman"/>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73" w:hRule="atLeast"/>
          <w:jc w:val="center"/>
        </w:trPr>
        <w:tc>
          <w:tcPr>
            <w:tcW w:w="2973"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交付</w:t>
            </w:r>
            <w:r>
              <w:rPr>
                <w:rFonts w:hint="eastAsia" w:ascii="Times New Roman" w:hAnsi="Times New Roman" w:eastAsia="宋体" w:cs="Times New Roman"/>
                <w:color w:val="auto"/>
                <w:sz w:val="24"/>
                <w:highlight w:val="none"/>
                <w:lang w:eastAsia="zh-CN"/>
              </w:rPr>
              <w:t>地点</w:t>
            </w:r>
          </w:p>
        </w:tc>
        <w:tc>
          <w:tcPr>
            <w:tcW w:w="6184" w:type="dxa"/>
            <w:tcBorders>
              <w:top w:val="single" w:color="000000" w:sz="6" w:space="0"/>
              <w:left w:val="single" w:color="000000" w:sz="6" w:space="0"/>
              <w:bottom w:val="single" w:color="000000" w:sz="6" w:space="0"/>
              <w:right w:val="double" w:color="000000" w:sz="6" w:space="0"/>
            </w:tcBorders>
            <w:noWrap w:val="0"/>
            <w:vAlign w:val="center"/>
          </w:tcPr>
          <w:p>
            <w:pPr>
              <w:wordWrap w:val="0"/>
              <w:snapToGrid w:val="0"/>
              <w:rPr>
                <w:rFonts w:ascii="Times New Roman" w:hAnsi="Times New Roman" w:eastAsia="宋体" w:cs="Times New Roman"/>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54" w:hRule="atLeast"/>
          <w:jc w:val="center"/>
        </w:trPr>
        <w:tc>
          <w:tcPr>
            <w:tcW w:w="2973" w:type="dxa"/>
            <w:tcBorders>
              <w:top w:val="single" w:color="auto" w:sz="4" w:space="0"/>
              <w:left w:val="double" w:color="000000" w:sz="6" w:space="0"/>
              <w:bottom w:val="double" w:color="000000" w:sz="6" w:space="0"/>
              <w:right w:val="single" w:color="000000" w:sz="6" w:space="0"/>
            </w:tcBorders>
            <w:noWrap w:val="0"/>
            <w:vAlign w:val="center"/>
          </w:tcPr>
          <w:p>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备注</w:t>
            </w:r>
          </w:p>
        </w:tc>
        <w:tc>
          <w:tcPr>
            <w:tcW w:w="6184" w:type="dxa"/>
            <w:tcBorders>
              <w:top w:val="single" w:color="000000" w:sz="6" w:space="0"/>
              <w:left w:val="single" w:color="000000" w:sz="6" w:space="0"/>
              <w:bottom w:val="double" w:color="000000" w:sz="6" w:space="0"/>
              <w:right w:val="double" w:color="000000" w:sz="6" w:space="0"/>
            </w:tcBorders>
            <w:noWrap w:val="0"/>
            <w:vAlign w:val="bottom"/>
          </w:tcPr>
          <w:p>
            <w:pPr>
              <w:snapToGrid w:val="0"/>
              <w:jc w:val="center"/>
              <w:rPr>
                <w:rFonts w:ascii="Times New Roman" w:hAnsi="Times New Roman" w:eastAsia="宋体" w:cs="Times New Roman"/>
                <w:color w:val="auto"/>
                <w:sz w:val="24"/>
                <w:highlight w:val="none"/>
              </w:rPr>
            </w:pPr>
          </w:p>
        </w:tc>
      </w:tr>
    </w:tbl>
    <w:p>
      <w:pPr>
        <w:spacing w:line="360" w:lineRule="auto"/>
        <w:ind w:firstLine="240" w:firstLineChars="100"/>
        <w:rPr>
          <w:rFonts w:ascii="宋体" w:hAnsi="宋体" w:eastAsia="宋体" w:cs="宋体"/>
          <w:color w:val="auto"/>
          <w:sz w:val="24"/>
          <w:highlight w:val="none"/>
          <w:u w:val="single"/>
        </w:rPr>
      </w:pPr>
    </w:p>
    <w:p>
      <w:pPr>
        <w:keepNext w:val="0"/>
        <w:keepLines w:val="0"/>
        <w:pageBreakBefore w:val="0"/>
        <w:widowControl w:val="0"/>
        <w:kinsoku/>
        <w:wordWrap/>
        <w:overflowPunct/>
        <w:topLinePunct w:val="0"/>
        <w:autoSpaceDE/>
        <w:autoSpaceDN/>
        <w:bidi w:val="0"/>
        <w:adjustRightInd/>
        <w:snapToGrid/>
        <w:spacing w:line="400" w:lineRule="exact"/>
        <w:ind w:left="680" w:leftChars="200" w:firstLine="0" w:firstLineChars="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注：1、供应商的报价是供应商响应磋商项目要求的全部工作内容的价格体现，包含完成本项目的所有费用。</w:t>
      </w:r>
    </w:p>
    <w:p>
      <w:pPr>
        <w:keepNext w:val="0"/>
        <w:keepLines w:val="0"/>
        <w:pageBreakBefore w:val="0"/>
        <w:widowControl w:val="0"/>
        <w:kinsoku/>
        <w:wordWrap/>
        <w:overflowPunct/>
        <w:topLinePunct w:val="0"/>
        <w:autoSpaceDE/>
        <w:autoSpaceDN/>
        <w:bidi w:val="0"/>
        <w:adjustRightInd/>
        <w:snapToGrid/>
        <w:spacing w:line="400" w:lineRule="exact"/>
        <w:ind w:left="680" w:leftChars="200" w:firstLine="0" w:firstLineChars="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2、如采用不归供应商所有的知识产权，则在该报价中已包括合法获取该知识产权的相关费用。</w:t>
      </w:r>
    </w:p>
    <w:p>
      <w:pPr>
        <w:keepNext w:val="0"/>
        <w:keepLines w:val="0"/>
        <w:pageBreakBefore w:val="0"/>
        <w:widowControl w:val="0"/>
        <w:kinsoku/>
        <w:wordWrap/>
        <w:overflowPunct/>
        <w:topLinePunct w:val="0"/>
        <w:autoSpaceDE/>
        <w:autoSpaceDN/>
        <w:bidi w:val="0"/>
        <w:adjustRightInd/>
        <w:snapToGrid/>
        <w:spacing w:line="400" w:lineRule="exact"/>
        <w:ind w:left="680" w:leftChars="200" w:firstLine="0" w:firstLineChars="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3、表格可根据需要自行扩展。</w:t>
      </w:r>
    </w:p>
    <w:p>
      <w:pPr>
        <w:widowControl w:val="0"/>
        <w:autoSpaceDE w:val="0"/>
        <w:autoSpaceDN w:val="0"/>
        <w:adjustRightInd w:val="0"/>
        <w:rPr>
          <w:rFonts w:hint="eastAsia" w:ascii="Times New Roman" w:hAnsi="Times New Roman" w:eastAsia="宋体" w:cs="宋体"/>
          <w:color w:val="auto"/>
          <w:sz w:val="24"/>
          <w:szCs w:val="24"/>
          <w:highlight w:val="none"/>
          <w:lang w:val="en-US" w:eastAsia="zh-CN" w:bidi="ar-SA"/>
        </w:rPr>
      </w:pPr>
    </w:p>
    <w:p>
      <w:pPr>
        <w:rPr>
          <w:rFonts w:hint="eastAsia" w:ascii="宋体" w:eastAsia="宋体" w:cs="Times New Roman"/>
          <w:highlight w:val="none"/>
        </w:rPr>
      </w:pP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法定代表人或授权代表（签字或签章）：</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报价日期：</w:t>
      </w:r>
    </w:p>
    <w:p>
      <w:pPr>
        <w:tabs>
          <w:tab w:val="left" w:pos="900"/>
        </w:tabs>
        <w:spacing w:line="360" w:lineRule="auto"/>
        <w:jc w:val="center"/>
        <w:outlineLvl w:val="1"/>
        <w:rPr>
          <w:rFonts w:ascii="宋体" w:hAnsi="宋体" w:eastAsia="宋体" w:cs="宋体"/>
          <w:b/>
          <w:color w:val="auto"/>
          <w:sz w:val="28"/>
          <w:szCs w:val="28"/>
          <w:highlight w:val="none"/>
        </w:rPr>
      </w:pPr>
      <w:bookmarkStart w:id="144" w:name="_Toc2800"/>
    </w:p>
    <w:bookmarkEnd w:id="144"/>
    <w:p>
      <w:pPr>
        <w:tabs>
          <w:tab w:val="left" w:pos="900"/>
        </w:tabs>
        <w:spacing w:line="360" w:lineRule="auto"/>
        <w:jc w:val="center"/>
        <w:rPr>
          <w:rFonts w:hint="eastAsia" w:hAnsi="宋体" w:cs="宋体"/>
          <w:b/>
          <w:color w:val="auto"/>
          <w:sz w:val="28"/>
          <w:szCs w:val="28"/>
          <w:highlight w:val="none"/>
        </w:rPr>
        <w:sectPr>
          <w:pgSz w:w="11907" w:h="16840"/>
          <w:pgMar w:top="1418" w:right="1361" w:bottom="1304" w:left="1361" w:header="851" w:footer="992" w:gutter="0"/>
          <w:pgBorders>
            <w:top w:val="none" w:sz="0" w:space="0"/>
            <w:left w:val="none" w:sz="0" w:space="0"/>
            <w:bottom w:val="none" w:sz="0" w:space="0"/>
            <w:right w:val="none" w:sz="0" w:space="0"/>
          </w:pgBorders>
          <w:cols w:space="720" w:num="1"/>
          <w:docGrid w:linePitch="462" w:charSpace="0"/>
        </w:sectPr>
      </w:pPr>
    </w:p>
    <w:p>
      <w:pPr>
        <w:tabs>
          <w:tab w:val="left" w:pos="900"/>
        </w:tabs>
        <w:spacing w:line="360" w:lineRule="auto"/>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  分项报价表</w:t>
      </w:r>
    </w:p>
    <w:p>
      <w:pPr>
        <w:snapToGrid w:val="0"/>
        <w:jc w:val="left"/>
        <w:rPr>
          <w:rFonts w:ascii="Arial" w:hAnsi="Arial" w:eastAsia="仿宋_GB2312" w:cs="Arial"/>
          <w:color w:val="auto"/>
          <w:sz w:val="24"/>
          <w:highlight w:val="none"/>
        </w:rPr>
      </w:pPr>
    </w:p>
    <w:p>
      <w:pPr>
        <w:snapToGrid w:val="0"/>
        <w:jc w:val="left"/>
        <w:rPr>
          <w:rFonts w:ascii="Arial" w:hAnsi="Arial" w:eastAsia="仿宋_GB2312" w:cs="Arial"/>
          <w:color w:val="auto"/>
          <w:sz w:val="24"/>
          <w:highlight w:val="none"/>
        </w:rPr>
      </w:pPr>
      <w:r>
        <w:rPr>
          <w:rFonts w:ascii="Arial" w:hAnsi="Arial" w:eastAsia="仿宋_GB2312" w:cs="Arial"/>
          <w:color w:val="auto"/>
          <w:sz w:val="24"/>
          <w:highlight w:val="none"/>
        </w:rPr>
        <w:t xml:space="preserve">项目名称：                                                 货币单位：人民币元 </w:t>
      </w:r>
    </w:p>
    <w:p>
      <w:pPr>
        <w:snapToGrid w:val="0"/>
        <w:jc w:val="left"/>
        <w:rPr>
          <w:rFonts w:ascii="Arial" w:hAnsi="Arial" w:eastAsia="仿宋_GB2312" w:cs="Arial"/>
          <w:color w:val="auto"/>
          <w:sz w:val="24"/>
          <w:highlight w:val="none"/>
        </w:rPr>
      </w:pPr>
    </w:p>
    <w:tbl>
      <w:tblPr>
        <w:tblStyle w:val="46"/>
        <w:tblW w:w="9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603"/>
        <w:gridCol w:w="843"/>
        <w:gridCol w:w="947"/>
        <w:gridCol w:w="1239"/>
        <w:gridCol w:w="1314"/>
        <w:gridCol w:w="13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603" w:type="dxa"/>
            <w:noWrap w:val="0"/>
            <w:vAlign w:val="center"/>
          </w:tcPr>
          <w:p>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内容</w:t>
            </w:r>
          </w:p>
        </w:tc>
        <w:tc>
          <w:tcPr>
            <w:tcW w:w="843" w:type="dxa"/>
            <w:noWrap w:val="0"/>
            <w:vAlign w:val="center"/>
          </w:tcPr>
          <w:p>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单位</w:t>
            </w: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p>
        </w:tc>
        <w:tc>
          <w:tcPr>
            <w:tcW w:w="2603" w:type="dxa"/>
            <w:noWrap w:val="0"/>
            <w:vAlign w:val="center"/>
          </w:tcPr>
          <w:p>
            <w:pPr>
              <w:adjustRightInd w:val="0"/>
              <w:snapToGrid w:val="0"/>
              <w:spacing w:line="360" w:lineRule="auto"/>
              <w:rPr>
                <w:rFonts w:ascii="宋体" w:hAnsi="宋体" w:eastAsia="宋体" w:cs="宋体"/>
                <w:color w:val="auto"/>
                <w:sz w:val="24"/>
                <w:highlight w:val="none"/>
              </w:rPr>
            </w:pPr>
          </w:p>
        </w:tc>
        <w:tc>
          <w:tcPr>
            <w:tcW w:w="843"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p>
        </w:tc>
        <w:tc>
          <w:tcPr>
            <w:tcW w:w="2603" w:type="dxa"/>
            <w:noWrap w:val="0"/>
            <w:vAlign w:val="center"/>
          </w:tcPr>
          <w:p>
            <w:pPr>
              <w:adjustRightInd w:val="0"/>
              <w:snapToGrid w:val="0"/>
              <w:spacing w:line="360" w:lineRule="auto"/>
              <w:rPr>
                <w:rFonts w:ascii="宋体" w:hAnsi="宋体" w:eastAsia="宋体" w:cs="宋体"/>
                <w:color w:val="auto"/>
                <w:sz w:val="24"/>
                <w:highlight w:val="none"/>
              </w:rPr>
            </w:pPr>
          </w:p>
        </w:tc>
        <w:tc>
          <w:tcPr>
            <w:tcW w:w="843"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p>
        </w:tc>
        <w:tc>
          <w:tcPr>
            <w:tcW w:w="2603" w:type="dxa"/>
            <w:noWrap w:val="0"/>
            <w:vAlign w:val="center"/>
          </w:tcPr>
          <w:p>
            <w:pPr>
              <w:adjustRightInd w:val="0"/>
              <w:snapToGrid w:val="0"/>
              <w:spacing w:line="360" w:lineRule="auto"/>
              <w:rPr>
                <w:rFonts w:ascii="宋体" w:hAnsi="宋体" w:eastAsia="宋体" w:cs="宋体"/>
                <w:color w:val="auto"/>
                <w:sz w:val="24"/>
                <w:highlight w:val="none"/>
              </w:rPr>
            </w:pPr>
          </w:p>
        </w:tc>
        <w:tc>
          <w:tcPr>
            <w:tcW w:w="843"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p>
        </w:tc>
        <w:tc>
          <w:tcPr>
            <w:tcW w:w="2603" w:type="dxa"/>
            <w:noWrap w:val="0"/>
            <w:vAlign w:val="center"/>
          </w:tcPr>
          <w:p>
            <w:pPr>
              <w:adjustRightInd w:val="0"/>
              <w:snapToGrid w:val="0"/>
              <w:spacing w:line="360" w:lineRule="auto"/>
              <w:rPr>
                <w:rFonts w:ascii="宋体" w:hAnsi="宋体" w:eastAsia="宋体" w:cs="宋体"/>
                <w:color w:val="auto"/>
                <w:sz w:val="24"/>
                <w:highlight w:val="none"/>
              </w:rPr>
            </w:pPr>
          </w:p>
        </w:tc>
        <w:tc>
          <w:tcPr>
            <w:tcW w:w="843"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p>
        </w:tc>
        <w:tc>
          <w:tcPr>
            <w:tcW w:w="2603" w:type="dxa"/>
            <w:noWrap w:val="0"/>
            <w:vAlign w:val="center"/>
          </w:tcPr>
          <w:p>
            <w:pPr>
              <w:adjustRightInd w:val="0"/>
              <w:snapToGrid w:val="0"/>
              <w:spacing w:line="360" w:lineRule="auto"/>
              <w:rPr>
                <w:rFonts w:ascii="宋体" w:hAnsi="宋体" w:eastAsia="宋体" w:cs="宋体"/>
                <w:color w:val="auto"/>
                <w:sz w:val="24"/>
                <w:highlight w:val="none"/>
              </w:rPr>
            </w:pPr>
          </w:p>
        </w:tc>
        <w:tc>
          <w:tcPr>
            <w:tcW w:w="843"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3419" w:type="dxa"/>
            <w:gridSpan w:val="2"/>
            <w:noWrap w:val="0"/>
            <w:vAlign w:val="center"/>
          </w:tcPr>
          <w:p>
            <w:pPr>
              <w:adjustRightInd w:val="0"/>
              <w:snapToGrid w:val="0"/>
              <w:spacing w:beforeLines="100"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报价合计</w:t>
            </w:r>
          </w:p>
        </w:tc>
        <w:tc>
          <w:tcPr>
            <w:tcW w:w="5700" w:type="dxa"/>
            <w:gridSpan w:val="5"/>
            <w:noWrap w:val="0"/>
            <w:vAlign w:val="center"/>
          </w:tcPr>
          <w:p>
            <w:pPr>
              <w:adjustRightInd w:val="0"/>
              <w:snapToGrid w:val="0"/>
              <w:spacing w:line="360" w:lineRule="auto"/>
              <w:jc w:val="center"/>
              <w:rPr>
                <w:rFonts w:ascii="宋体" w:hAnsi="宋体" w:eastAsia="宋体" w:cs="宋体"/>
                <w:color w:val="auto"/>
                <w:sz w:val="24"/>
                <w:highlight w:val="none"/>
              </w:rPr>
            </w:pPr>
          </w:p>
        </w:tc>
      </w:tr>
    </w:tbl>
    <w:p>
      <w:pPr>
        <w:spacing w:line="400" w:lineRule="exact"/>
        <w:ind w:left="1084" w:leftChars="213" w:hanging="360" w:hangingChars="150"/>
        <w:rPr>
          <w:rFonts w:ascii="宋体" w:hAnsi="宋体" w:eastAsia="宋体" w:cs="宋体"/>
          <w:color w:val="auto"/>
          <w:sz w:val="24"/>
          <w:szCs w:val="24"/>
          <w:highlight w:val="none"/>
        </w:rPr>
      </w:pP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（盖章）：</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法定代表人或授权代表（签字或签章）：</w:t>
      </w:r>
    </w:p>
    <w:p>
      <w:pPr>
        <w:snapToGrid w:val="0"/>
        <w:rPr>
          <w:rFonts w:ascii="宋体" w:hAnsi="宋体" w:eastAsia="宋体" w:cs="宋体"/>
          <w:b/>
          <w:color w:val="auto"/>
          <w:sz w:val="21"/>
          <w:szCs w:val="21"/>
          <w:highlight w:val="none"/>
        </w:rPr>
      </w:pPr>
    </w:p>
    <w:p>
      <w:pPr>
        <w:snapToGrid w:val="0"/>
        <w:ind w:firstLine="527" w:firstLineChars="250"/>
        <w:rPr>
          <w:rFonts w:ascii="宋体" w:hAnsi="宋体" w:eastAsia="宋体" w:cs="宋体"/>
          <w:b/>
          <w:color w:val="auto"/>
          <w:sz w:val="21"/>
          <w:szCs w:val="21"/>
          <w:highlight w:val="none"/>
        </w:rPr>
      </w:pP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政府采购是指以合同方式有偿取得货物、工程和服务的行为，供应商在填写此表时不得填写“免费”、“赠送”“0元”等类似字眼。</w:t>
      </w:r>
    </w:p>
    <w:p>
      <w:pPr>
        <w:snapToGrid w:val="0"/>
        <w:spacing w:line="360" w:lineRule="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bidi="ar-SA"/>
        </w:rPr>
        <w:t>供应商必须按“分项报价表”的格式详细报出响应总价的各个组成部分的报价。</w:t>
      </w:r>
    </w:p>
    <w:p>
      <w:pPr>
        <w:snapToGrid w:val="0"/>
        <w:spacing w:line="360" w:lineRule="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3、“分项报价表”各分项报价合计应当与“报价一览表”报价合计相等。</w:t>
      </w:r>
    </w:p>
    <w:p>
      <w:pPr>
        <w:snapToGrid w:val="0"/>
        <w:spacing w:line="360" w:lineRule="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4、表格可根据需要自行扩展。</w:t>
      </w:r>
    </w:p>
    <w:p>
      <w:pPr>
        <w:widowControl w:val="0"/>
        <w:spacing w:after="120"/>
        <w:jc w:val="both"/>
        <w:rPr>
          <w:rFonts w:ascii="宋体" w:hAnsi="Times New Roman" w:eastAsia="宋体" w:cs="Times New Roman"/>
          <w:sz w:val="34"/>
          <w:highlight w:val="none"/>
          <w:lang w:val="en-US" w:eastAsia="zh-CN" w:bidi="ar-SA"/>
        </w:rPr>
      </w:pPr>
    </w:p>
    <w:p>
      <w:pPr>
        <w:snapToGrid w:val="0"/>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最后报价一览表（最终报价时现场递交，不需要装订至响应文件中）</w:t>
      </w:r>
    </w:p>
    <w:tbl>
      <w:tblPr>
        <w:tblStyle w:val="46"/>
        <w:tblW w:w="91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3"/>
        <w:gridCol w:w="6184"/>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2973" w:type="dxa"/>
            <w:tcBorders>
              <w:top w:val="double" w:color="000000" w:sz="6" w:space="0"/>
              <w:left w:val="double" w:color="000000" w:sz="6" w:space="0"/>
              <w:bottom w:val="single" w:color="000000" w:sz="6" w:space="0"/>
              <w:right w:val="single" w:color="000000" w:sz="6" w:space="0"/>
            </w:tcBorders>
            <w:noWrap w:val="0"/>
            <w:vAlign w:val="center"/>
          </w:tcPr>
          <w:p>
            <w:pPr>
              <w:snapToGrid w:val="0"/>
              <w:jc w:val="center"/>
              <w:rPr>
                <w:rFonts w:ascii="Times New Roman" w:hAnsi="Times New Roman" w:eastAsia="宋体" w:cs="Times New Roman"/>
                <w:color w:val="auto"/>
                <w:sz w:val="24"/>
                <w:highlight w:val="none"/>
              </w:rPr>
            </w:pPr>
            <w:bookmarkStart w:id="145" w:name="_Toc83197961"/>
            <w:bookmarkStart w:id="146" w:name="_Toc83444902"/>
            <w:bookmarkStart w:id="147" w:name="_Toc83614174"/>
            <w:bookmarkStart w:id="148" w:name="_Toc83395288"/>
            <w:r>
              <w:rPr>
                <w:rFonts w:ascii="Times New Roman" w:hAnsi="Times New Roman" w:eastAsia="宋体" w:cs="Times New Roman"/>
                <w:color w:val="auto"/>
                <w:sz w:val="24"/>
                <w:highlight w:val="none"/>
              </w:rPr>
              <w:t>项目名称</w:t>
            </w:r>
          </w:p>
        </w:tc>
        <w:tc>
          <w:tcPr>
            <w:tcW w:w="6184" w:type="dxa"/>
            <w:tcBorders>
              <w:top w:val="double" w:color="000000" w:sz="6" w:space="0"/>
              <w:left w:val="single" w:color="000000" w:sz="6" w:space="0"/>
              <w:bottom w:val="single" w:color="000000" w:sz="6" w:space="0"/>
              <w:right w:val="double" w:color="000000" w:sz="6" w:space="0"/>
            </w:tcBorders>
            <w:noWrap w:val="0"/>
            <w:vAlign w:val="center"/>
          </w:tcPr>
          <w:p>
            <w:pPr>
              <w:snapToGrid w:val="0"/>
              <w:jc w:val="center"/>
              <w:rPr>
                <w:rFonts w:ascii="Times New Roman" w:hAnsi="Times New Roman" w:eastAsia="宋体" w:cs="Times New Roman"/>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5" w:hRule="atLeast"/>
          <w:jc w:val="center"/>
        </w:trPr>
        <w:tc>
          <w:tcPr>
            <w:tcW w:w="2973"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项目编号</w:t>
            </w:r>
          </w:p>
        </w:tc>
        <w:tc>
          <w:tcPr>
            <w:tcW w:w="6184"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ascii="Times New Roman" w:hAnsi="Times New Roman" w:eastAsia="宋体" w:cs="Times New Roman"/>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20" w:hRule="atLeast"/>
          <w:jc w:val="center"/>
        </w:trPr>
        <w:tc>
          <w:tcPr>
            <w:tcW w:w="2973"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供应商全称</w:t>
            </w:r>
          </w:p>
        </w:tc>
        <w:tc>
          <w:tcPr>
            <w:tcW w:w="6184"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ascii="Times New Roman" w:hAnsi="Times New Roman" w:eastAsia="宋体" w:cs="Times New Roman"/>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28" w:hRule="atLeast"/>
          <w:jc w:val="center"/>
        </w:trPr>
        <w:tc>
          <w:tcPr>
            <w:tcW w:w="2973" w:type="dxa"/>
            <w:tcBorders>
              <w:top w:val="single" w:color="auto" w:sz="4" w:space="0"/>
              <w:left w:val="double" w:color="000000" w:sz="6" w:space="0"/>
              <w:bottom w:val="single" w:color="auto" w:sz="4"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总报价</w:t>
            </w:r>
          </w:p>
        </w:tc>
        <w:tc>
          <w:tcPr>
            <w:tcW w:w="6184" w:type="dxa"/>
            <w:tcBorders>
              <w:top w:val="single" w:color="000000" w:sz="6" w:space="0"/>
              <w:left w:val="single" w:color="000000" w:sz="6" w:space="0"/>
              <w:bottom w:val="single" w:color="000000" w:sz="6" w:space="0"/>
              <w:right w:val="double" w:color="000000" w:sz="6" w:space="0"/>
            </w:tcBorders>
            <w:noWrap w:val="0"/>
            <w:vAlign w:val="bottom"/>
          </w:tcPr>
          <w:p>
            <w:pPr>
              <w:snapToGrid w:val="0"/>
              <w:spacing w:line="500" w:lineRule="exact"/>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（大写）</w:t>
            </w:r>
          </w:p>
          <w:p>
            <w:pPr>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ascii="Times New Roman" w:hAnsi="Times New Roman" w:eastAsia="宋体" w:cs="Times New Roman"/>
                <w:color w:val="auto"/>
                <w:sz w:val="24"/>
                <w:highlight w:val="none"/>
              </w:rPr>
            </w:pPr>
            <w:r>
              <w:rPr>
                <w:rFonts w:hint="eastAsia" w:ascii="宋体" w:hAnsi="宋体" w:eastAsia="宋体" w:cs="宋体"/>
                <w:color w:val="auto"/>
                <w:sz w:val="24"/>
                <w:szCs w:val="24"/>
                <w:highlight w:val="none"/>
              </w:rPr>
              <w:t xml:space="preserve">                  （小写）</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jc w:val="center"/>
        </w:trPr>
        <w:tc>
          <w:tcPr>
            <w:tcW w:w="2973"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合同履行期限</w:t>
            </w:r>
          </w:p>
        </w:tc>
        <w:tc>
          <w:tcPr>
            <w:tcW w:w="6184" w:type="dxa"/>
            <w:tcBorders>
              <w:top w:val="single" w:color="000000" w:sz="6" w:space="0"/>
              <w:left w:val="single" w:color="000000" w:sz="6" w:space="0"/>
              <w:bottom w:val="single" w:color="000000" w:sz="6" w:space="0"/>
              <w:right w:val="double" w:color="000000" w:sz="6" w:space="0"/>
            </w:tcBorders>
            <w:noWrap w:val="0"/>
            <w:vAlign w:val="center"/>
          </w:tcPr>
          <w:p>
            <w:pPr>
              <w:wordWrap w:val="0"/>
              <w:snapToGrid w:val="0"/>
              <w:jc w:val="center"/>
              <w:rPr>
                <w:rFonts w:ascii="Times New Roman" w:hAnsi="Times New Roman" w:eastAsia="宋体" w:cs="Times New Roman"/>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73" w:hRule="atLeast"/>
          <w:jc w:val="center"/>
        </w:trPr>
        <w:tc>
          <w:tcPr>
            <w:tcW w:w="2973"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val="en-US" w:eastAsia="zh-CN"/>
              </w:rPr>
              <w:t>交付</w:t>
            </w:r>
            <w:r>
              <w:rPr>
                <w:rFonts w:hint="eastAsia" w:ascii="Times New Roman" w:hAnsi="Times New Roman" w:eastAsia="宋体" w:cs="Times New Roman"/>
                <w:color w:val="auto"/>
                <w:sz w:val="24"/>
                <w:highlight w:val="none"/>
                <w:lang w:eastAsia="zh-CN"/>
              </w:rPr>
              <w:t>地点</w:t>
            </w:r>
          </w:p>
        </w:tc>
        <w:tc>
          <w:tcPr>
            <w:tcW w:w="6184" w:type="dxa"/>
            <w:tcBorders>
              <w:top w:val="single" w:color="000000" w:sz="6" w:space="0"/>
              <w:left w:val="single" w:color="000000" w:sz="6" w:space="0"/>
              <w:bottom w:val="single" w:color="000000" w:sz="6" w:space="0"/>
              <w:right w:val="double" w:color="000000" w:sz="6" w:space="0"/>
            </w:tcBorders>
            <w:noWrap w:val="0"/>
            <w:vAlign w:val="center"/>
          </w:tcPr>
          <w:p>
            <w:pPr>
              <w:wordWrap w:val="0"/>
              <w:snapToGrid w:val="0"/>
              <w:rPr>
                <w:rFonts w:ascii="Times New Roman" w:hAnsi="Times New Roman" w:eastAsia="宋体" w:cs="Times New Roman"/>
                <w:color w:val="auto"/>
                <w:sz w:val="24"/>
                <w:szCs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354" w:hRule="atLeast"/>
          <w:jc w:val="center"/>
        </w:trPr>
        <w:tc>
          <w:tcPr>
            <w:tcW w:w="2973" w:type="dxa"/>
            <w:tcBorders>
              <w:top w:val="single" w:color="auto" w:sz="4" w:space="0"/>
              <w:left w:val="double" w:color="000000" w:sz="6" w:space="0"/>
              <w:bottom w:val="double" w:color="000000" w:sz="6" w:space="0"/>
              <w:right w:val="single" w:color="000000" w:sz="6" w:space="0"/>
            </w:tcBorders>
            <w:noWrap w:val="0"/>
            <w:vAlign w:val="center"/>
          </w:tcPr>
          <w:p>
            <w:pPr>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备注</w:t>
            </w:r>
          </w:p>
        </w:tc>
        <w:tc>
          <w:tcPr>
            <w:tcW w:w="6184" w:type="dxa"/>
            <w:tcBorders>
              <w:top w:val="single" w:color="000000" w:sz="6" w:space="0"/>
              <w:left w:val="single" w:color="000000" w:sz="6" w:space="0"/>
              <w:bottom w:val="double" w:color="000000" w:sz="6" w:space="0"/>
              <w:right w:val="double" w:color="000000" w:sz="6" w:space="0"/>
            </w:tcBorders>
            <w:noWrap w:val="0"/>
            <w:vAlign w:val="bottom"/>
          </w:tcPr>
          <w:p>
            <w:pPr>
              <w:snapToGrid w:val="0"/>
              <w:jc w:val="center"/>
              <w:rPr>
                <w:rFonts w:ascii="Times New Roman" w:hAnsi="Times New Roman" w:eastAsia="宋体" w:cs="Times New Roman"/>
                <w:color w:val="auto"/>
                <w:sz w:val="24"/>
                <w:highlight w:val="none"/>
              </w:rPr>
            </w:pPr>
          </w:p>
        </w:tc>
      </w:tr>
    </w:tbl>
    <w:p>
      <w:pPr>
        <w:spacing w:line="360" w:lineRule="auto"/>
        <w:ind w:firstLine="240" w:firstLineChars="100"/>
        <w:rPr>
          <w:rFonts w:ascii="宋体" w:hAnsi="宋体" w:eastAsia="宋体" w:cs="宋体"/>
          <w:color w:val="auto"/>
          <w:sz w:val="24"/>
          <w:highlight w:val="none"/>
          <w:u w:val="single"/>
        </w:rPr>
      </w:pPr>
    </w:p>
    <w:p>
      <w:pPr>
        <w:spacing w:line="400" w:lineRule="exact"/>
        <w:ind w:left="840" w:hanging="840" w:hangingChars="35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 1. 最后总报价应是完成本竞争性磋商文件中所要求的全部内容的最终价格</w:t>
      </w:r>
      <w:r>
        <w:rPr>
          <w:rFonts w:hint="eastAsia" w:ascii="Times New Roman" w:hAnsi="Times New Roman" w:eastAsia="宋体" w:cs="Times New Roman"/>
          <w:color w:val="auto"/>
          <w:sz w:val="24"/>
          <w:szCs w:val="24"/>
          <w:highlight w:val="none"/>
        </w:rPr>
        <w:t>，包含完成本项目的所有费用</w:t>
      </w:r>
      <w:r>
        <w:rPr>
          <w:rFonts w:ascii="Times New Roman" w:hAnsi="Times New Roman" w:eastAsia="宋体" w:cs="Times New Roman"/>
          <w:color w:val="auto"/>
          <w:sz w:val="24"/>
          <w:szCs w:val="24"/>
          <w:highlight w:val="none"/>
        </w:rPr>
        <w:t>。</w:t>
      </w:r>
    </w:p>
    <w:p>
      <w:pPr>
        <w:numPr>
          <w:ilvl w:val="0"/>
          <w:numId w:val="24"/>
        </w:numPr>
        <w:spacing w:line="400" w:lineRule="exact"/>
        <w:ind w:left="596" w:leftChars="0" w:firstLine="0" w:firstLineChars="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如采用不归供应商所有的知识产权，则在该报价中已包括合法获取该知识产权的相关费用。</w:t>
      </w:r>
    </w:p>
    <w:p>
      <w:pPr>
        <w:numPr>
          <w:ilvl w:val="0"/>
          <w:numId w:val="24"/>
        </w:numPr>
        <w:spacing w:line="400" w:lineRule="exact"/>
        <w:ind w:left="596" w:leftChars="0" w:firstLine="0" w:firstLineChars="0"/>
        <w:jc w:val="left"/>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rPr>
        <w:t>表格可根据需要自行扩展。</w:t>
      </w:r>
    </w:p>
    <w:p>
      <w:pPr>
        <w:numPr>
          <w:ilvl w:val="0"/>
          <w:numId w:val="24"/>
        </w:numPr>
        <w:spacing w:line="400" w:lineRule="exact"/>
        <w:ind w:left="596" w:leftChars="0" w:firstLine="0" w:firstLineChars="0"/>
        <w:jc w:val="left"/>
        <w:rPr>
          <w:rFonts w:hint="default"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最后报价一览表是在供应商与磋商小组进行磋商后，密封装在信封内单独递交的。信封必须封口。</w:t>
      </w:r>
    </w:p>
    <w:p>
      <w:pPr>
        <w:spacing w:line="400" w:lineRule="exact"/>
        <w:ind w:left="735" w:hanging="735" w:hangingChars="35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法定代表人或授权代表（签字或签章）：</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报价日期：</w:t>
      </w:r>
    </w:p>
    <w:bookmarkEnd w:id="145"/>
    <w:bookmarkEnd w:id="146"/>
    <w:bookmarkEnd w:id="147"/>
    <w:bookmarkEnd w:id="148"/>
    <w:p>
      <w:pPr>
        <w:spacing w:line="400" w:lineRule="exact"/>
        <w:rPr>
          <w:rFonts w:ascii="宋体" w:hAnsi="宋体" w:eastAsia="宋体" w:cs="宋体"/>
          <w:b/>
          <w:color w:val="auto"/>
          <w:sz w:val="24"/>
          <w:szCs w:val="24"/>
          <w:highlight w:val="none"/>
        </w:rPr>
      </w:pPr>
    </w:p>
    <w:p>
      <w:pPr>
        <w:spacing w:line="360" w:lineRule="auto"/>
        <w:rPr>
          <w:rFonts w:hAnsi="宋体" w:cs="宋体"/>
          <w:color w:val="auto"/>
          <w:sz w:val="24"/>
          <w:szCs w:val="24"/>
          <w:highlight w:val="none"/>
        </w:rPr>
        <w:sectPr>
          <w:pgSz w:w="11907" w:h="16840"/>
          <w:pgMar w:top="1418" w:right="1361" w:bottom="1304" w:left="1361" w:header="851" w:footer="992" w:gutter="0"/>
          <w:pgBorders>
            <w:top w:val="none" w:sz="0" w:space="0"/>
            <w:left w:val="none" w:sz="0" w:space="0"/>
            <w:bottom w:val="none" w:sz="0" w:space="0"/>
            <w:right w:val="none" w:sz="0" w:space="0"/>
          </w:pgBorders>
          <w:cols w:space="720" w:num="1"/>
          <w:docGrid w:linePitch="462" w:charSpace="0"/>
        </w:sectPr>
      </w:pPr>
    </w:p>
    <w:p>
      <w:pPr>
        <w:snapToGrid w:val="0"/>
        <w:jc w:val="center"/>
        <w:rPr>
          <w:rFonts w:ascii="宋体" w:hAnsi="宋体" w:eastAsia="宋体" w:cs="宋体"/>
          <w:b/>
          <w:color w:val="auto"/>
          <w:sz w:val="28"/>
          <w:szCs w:val="28"/>
          <w:highlight w:val="none"/>
        </w:rPr>
      </w:pPr>
      <w:r>
        <w:rPr>
          <w:rFonts w:hint="eastAsia" w:ascii="Arial" w:hAnsi="Arial" w:eastAsia="仿宋_GB2312" w:cs="Arial"/>
          <w:color w:val="auto"/>
          <w:sz w:val="32"/>
          <w:szCs w:val="22"/>
          <w:highlight w:val="none"/>
        </w:rPr>
        <w:t>最后分项报价表</w:t>
      </w:r>
      <w:r>
        <w:rPr>
          <w:rFonts w:hint="eastAsia" w:ascii="宋体" w:hAnsi="宋体" w:eastAsia="宋体" w:cs="宋体"/>
          <w:b/>
          <w:color w:val="auto"/>
          <w:sz w:val="28"/>
          <w:szCs w:val="28"/>
          <w:highlight w:val="none"/>
        </w:rPr>
        <w:t>（最终报价时现场递交，不需要装订至响应文件中）</w:t>
      </w:r>
    </w:p>
    <w:p>
      <w:pPr>
        <w:widowControl w:val="0"/>
        <w:spacing w:after="120"/>
        <w:jc w:val="both"/>
        <w:rPr>
          <w:rFonts w:ascii="宋体" w:hAnsi="Times New Roman" w:eastAsia="宋体" w:cs="Times New Roman"/>
          <w:color w:val="auto"/>
          <w:sz w:val="34"/>
          <w:highlight w:val="none"/>
          <w:lang w:val="en-US" w:eastAsia="zh-CN" w:bidi="ar-SA"/>
        </w:rPr>
      </w:pPr>
    </w:p>
    <w:p>
      <w:pPr>
        <w:snapToGrid w:val="0"/>
        <w:jc w:val="left"/>
        <w:rPr>
          <w:rFonts w:ascii="Arial" w:hAnsi="Arial" w:eastAsia="仿宋_GB2312" w:cs="Arial"/>
          <w:color w:val="auto"/>
          <w:sz w:val="24"/>
          <w:highlight w:val="none"/>
        </w:rPr>
      </w:pPr>
      <w:r>
        <w:rPr>
          <w:rFonts w:ascii="Arial" w:hAnsi="Arial" w:eastAsia="仿宋_GB2312" w:cs="Arial"/>
          <w:color w:val="auto"/>
          <w:sz w:val="24"/>
          <w:highlight w:val="none"/>
        </w:rPr>
        <w:t xml:space="preserve">项目名称：                                          货币单位：人民币元                                                                              </w:t>
      </w:r>
    </w:p>
    <w:tbl>
      <w:tblPr>
        <w:tblStyle w:val="46"/>
        <w:tblW w:w="91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603"/>
        <w:gridCol w:w="843"/>
        <w:gridCol w:w="947"/>
        <w:gridCol w:w="1239"/>
        <w:gridCol w:w="1314"/>
        <w:gridCol w:w="13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603" w:type="dxa"/>
            <w:noWrap w:val="0"/>
            <w:vAlign w:val="center"/>
          </w:tcPr>
          <w:p>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内容</w:t>
            </w:r>
          </w:p>
        </w:tc>
        <w:tc>
          <w:tcPr>
            <w:tcW w:w="843" w:type="dxa"/>
            <w:noWrap w:val="0"/>
            <w:vAlign w:val="center"/>
          </w:tcPr>
          <w:p>
            <w:pPr>
              <w:adjustRightInd w:val="0"/>
              <w:snapToGrid w:val="0"/>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单位</w:t>
            </w: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p>
        </w:tc>
        <w:tc>
          <w:tcPr>
            <w:tcW w:w="2603" w:type="dxa"/>
            <w:noWrap w:val="0"/>
            <w:vAlign w:val="center"/>
          </w:tcPr>
          <w:p>
            <w:pPr>
              <w:adjustRightInd w:val="0"/>
              <w:snapToGrid w:val="0"/>
              <w:spacing w:line="360" w:lineRule="auto"/>
              <w:rPr>
                <w:rFonts w:ascii="宋体" w:hAnsi="宋体" w:eastAsia="宋体" w:cs="宋体"/>
                <w:color w:val="auto"/>
                <w:sz w:val="24"/>
                <w:highlight w:val="none"/>
              </w:rPr>
            </w:pPr>
          </w:p>
        </w:tc>
        <w:tc>
          <w:tcPr>
            <w:tcW w:w="843"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p>
        </w:tc>
        <w:tc>
          <w:tcPr>
            <w:tcW w:w="2603" w:type="dxa"/>
            <w:noWrap w:val="0"/>
            <w:vAlign w:val="center"/>
          </w:tcPr>
          <w:p>
            <w:pPr>
              <w:adjustRightInd w:val="0"/>
              <w:snapToGrid w:val="0"/>
              <w:spacing w:line="360" w:lineRule="auto"/>
              <w:rPr>
                <w:rFonts w:ascii="宋体" w:hAnsi="宋体" w:eastAsia="宋体" w:cs="宋体"/>
                <w:color w:val="auto"/>
                <w:sz w:val="24"/>
                <w:highlight w:val="none"/>
              </w:rPr>
            </w:pPr>
          </w:p>
        </w:tc>
        <w:tc>
          <w:tcPr>
            <w:tcW w:w="843"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p>
        </w:tc>
        <w:tc>
          <w:tcPr>
            <w:tcW w:w="2603" w:type="dxa"/>
            <w:noWrap w:val="0"/>
            <w:vAlign w:val="center"/>
          </w:tcPr>
          <w:p>
            <w:pPr>
              <w:adjustRightInd w:val="0"/>
              <w:snapToGrid w:val="0"/>
              <w:spacing w:line="360" w:lineRule="auto"/>
              <w:rPr>
                <w:rFonts w:ascii="宋体" w:hAnsi="宋体" w:eastAsia="宋体" w:cs="宋体"/>
                <w:color w:val="auto"/>
                <w:sz w:val="24"/>
                <w:highlight w:val="none"/>
              </w:rPr>
            </w:pPr>
          </w:p>
        </w:tc>
        <w:tc>
          <w:tcPr>
            <w:tcW w:w="843"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p>
        </w:tc>
        <w:tc>
          <w:tcPr>
            <w:tcW w:w="2603" w:type="dxa"/>
            <w:noWrap w:val="0"/>
            <w:vAlign w:val="center"/>
          </w:tcPr>
          <w:p>
            <w:pPr>
              <w:adjustRightInd w:val="0"/>
              <w:snapToGrid w:val="0"/>
              <w:spacing w:line="360" w:lineRule="auto"/>
              <w:rPr>
                <w:rFonts w:ascii="宋体" w:hAnsi="宋体" w:eastAsia="宋体" w:cs="宋体"/>
                <w:color w:val="auto"/>
                <w:sz w:val="24"/>
                <w:highlight w:val="none"/>
              </w:rPr>
            </w:pPr>
          </w:p>
        </w:tc>
        <w:tc>
          <w:tcPr>
            <w:tcW w:w="843"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816" w:type="dxa"/>
            <w:noWrap w:val="0"/>
            <w:vAlign w:val="center"/>
          </w:tcPr>
          <w:p>
            <w:pPr>
              <w:adjustRightInd w:val="0"/>
              <w:snapToGrid w:val="0"/>
              <w:spacing w:beforeLines="100" w:afterLines="100" w:line="360" w:lineRule="auto"/>
              <w:jc w:val="center"/>
              <w:rPr>
                <w:rFonts w:ascii="宋体" w:hAnsi="宋体" w:eastAsia="宋体" w:cs="宋体"/>
                <w:color w:val="auto"/>
                <w:sz w:val="24"/>
                <w:highlight w:val="none"/>
              </w:rPr>
            </w:pPr>
          </w:p>
        </w:tc>
        <w:tc>
          <w:tcPr>
            <w:tcW w:w="2603" w:type="dxa"/>
            <w:noWrap w:val="0"/>
            <w:vAlign w:val="center"/>
          </w:tcPr>
          <w:p>
            <w:pPr>
              <w:adjustRightInd w:val="0"/>
              <w:snapToGrid w:val="0"/>
              <w:spacing w:line="360" w:lineRule="auto"/>
              <w:rPr>
                <w:rFonts w:ascii="宋体" w:hAnsi="宋体" w:eastAsia="宋体" w:cs="宋体"/>
                <w:color w:val="auto"/>
                <w:sz w:val="24"/>
                <w:highlight w:val="none"/>
              </w:rPr>
            </w:pPr>
          </w:p>
        </w:tc>
        <w:tc>
          <w:tcPr>
            <w:tcW w:w="843"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947"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239"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14" w:type="dxa"/>
            <w:noWrap w:val="0"/>
            <w:vAlign w:val="center"/>
          </w:tcPr>
          <w:p>
            <w:pPr>
              <w:adjustRightInd w:val="0"/>
              <w:snapToGrid w:val="0"/>
              <w:spacing w:line="360" w:lineRule="auto"/>
              <w:jc w:val="center"/>
              <w:rPr>
                <w:rFonts w:ascii="宋体" w:hAnsi="宋体" w:eastAsia="宋体" w:cs="宋体"/>
                <w:color w:val="auto"/>
                <w:sz w:val="24"/>
                <w:highlight w:val="none"/>
              </w:rPr>
            </w:pPr>
          </w:p>
        </w:tc>
        <w:tc>
          <w:tcPr>
            <w:tcW w:w="1357" w:type="dxa"/>
            <w:noWrap w:val="0"/>
            <w:vAlign w:val="center"/>
          </w:tcPr>
          <w:p>
            <w:pPr>
              <w:adjustRightInd w:val="0"/>
              <w:snapToGrid w:val="0"/>
              <w:spacing w:line="360" w:lineRule="auto"/>
              <w:jc w:val="center"/>
              <w:rPr>
                <w:rFonts w:ascii="宋体" w:hAnsi="宋体" w:eastAsia="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3419" w:type="dxa"/>
            <w:gridSpan w:val="2"/>
            <w:noWrap w:val="0"/>
            <w:vAlign w:val="center"/>
          </w:tcPr>
          <w:p>
            <w:pPr>
              <w:adjustRightInd w:val="0"/>
              <w:snapToGrid w:val="0"/>
              <w:spacing w:beforeLines="100"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报价合计</w:t>
            </w:r>
          </w:p>
        </w:tc>
        <w:tc>
          <w:tcPr>
            <w:tcW w:w="5700" w:type="dxa"/>
            <w:gridSpan w:val="5"/>
            <w:noWrap w:val="0"/>
            <w:vAlign w:val="center"/>
          </w:tcPr>
          <w:p>
            <w:pPr>
              <w:adjustRightInd w:val="0"/>
              <w:snapToGrid w:val="0"/>
              <w:spacing w:line="360" w:lineRule="auto"/>
              <w:jc w:val="center"/>
              <w:rPr>
                <w:rFonts w:ascii="宋体" w:hAnsi="宋体" w:eastAsia="宋体" w:cs="宋体"/>
                <w:color w:val="auto"/>
                <w:sz w:val="24"/>
                <w:highlight w:val="none"/>
              </w:rPr>
            </w:pPr>
          </w:p>
        </w:tc>
      </w:tr>
    </w:tbl>
    <w:p>
      <w:pPr>
        <w:spacing w:line="400" w:lineRule="exact"/>
        <w:ind w:left="1084" w:leftChars="213" w:hanging="360" w:hangingChars="150"/>
        <w:rPr>
          <w:rFonts w:ascii="宋体" w:hAnsi="宋体" w:eastAsia="宋体" w:cs="宋体"/>
          <w:color w:val="auto"/>
          <w:sz w:val="24"/>
          <w:szCs w:val="24"/>
          <w:highlight w:val="none"/>
        </w:rPr>
      </w:pP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 ：</w:t>
      </w:r>
    </w:p>
    <w:p>
      <w:pPr>
        <w:spacing w:line="4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法定代表人或授权代表（签字或签章）：</w:t>
      </w:r>
    </w:p>
    <w:p>
      <w:pPr>
        <w:snapToGrid w:val="0"/>
        <w:spacing w:beforeLines="100" w:line="360" w:lineRule="auto"/>
        <w:rPr>
          <w:rFonts w:ascii="Arial" w:hAnsi="Arial" w:eastAsia="宋体" w:cs="Arial"/>
          <w:color w:val="auto"/>
          <w:sz w:val="24"/>
          <w:highlight w:val="none"/>
          <w:u w:val="single"/>
        </w:rPr>
      </w:pPr>
    </w:p>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政府采购是指以合同方式有偿取得货物、工程和服务的行为，供应商在填写此表时不得填写“免费”、“赠送”“0元”等类似字眼。</w:t>
      </w:r>
    </w:p>
    <w:p>
      <w:pPr>
        <w:snapToGrid w:val="0"/>
        <w:spacing w:line="360" w:lineRule="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lang w:val="en-US" w:eastAsia="zh-CN" w:bidi="ar-SA"/>
        </w:rPr>
        <w:t>供应商必须按“最后分项报价表”的格式详细报出响应总价的各个组成部分的报价。</w:t>
      </w:r>
    </w:p>
    <w:p>
      <w:pPr>
        <w:snapToGrid w:val="0"/>
        <w:spacing w:line="360" w:lineRule="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val="en-US" w:eastAsia="zh-CN" w:bidi="ar-SA"/>
        </w:rPr>
        <w:t>3、“最后分项报价表”各分项报价合计应当与“最后报价一览表”报价合计相等。</w:t>
      </w:r>
    </w:p>
    <w:p>
      <w:pPr>
        <w:spacing w:line="400" w:lineRule="exact"/>
        <w:rPr>
          <w:rFonts w:ascii="Times New Roman" w:hAnsi="Times New Roman"/>
          <w:b/>
          <w:color w:val="auto"/>
          <w:sz w:val="24"/>
          <w:szCs w:val="24"/>
          <w:highlight w:val="none"/>
        </w:rPr>
      </w:pPr>
      <w:r>
        <w:rPr>
          <w:rFonts w:hint="eastAsia" w:ascii="宋体" w:hAnsi="宋体" w:eastAsia="宋体" w:cs="宋体"/>
          <w:b/>
          <w:color w:val="auto"/>
          <w:sz w:val="24"/>
          <w:szCs w:val="24"/>
          <w:highlight w:val="none"/>
          <w:lang w:val="en-US" w:eastAsia="zh-CN" w:bidi="ar-SA"/>
        </w:rPr>
        <w:t>4、表格可根据需要自行扩展。</w:t>
      </w:r>
    </w:p>
    <w:p>
      <w:pPr>
        <w:spacing w:line="360" w:lineRule="auto"/>
        <w:rPr>
          <w:rFonts w:ascii="Times New Roman" w:hAnsi="Times New Roman"/>
          <w:color w:val="auto"/>
          <w:sz w:val="24"/>
          <w:szCs w:val="24"/>
          <w:highlight w:val="none"/>
        </w:rPr>
        <w:sectPr>
          <w:pgSz w:w="11907" w:h="16840"/>
          <w:pgMar w:top="1418" w:right="1361" w:bottom="1304" w:left="1361" w:header="851" w:footer="992" w:gutter="0"/>
          <w:cols w:space="720" w:num="1"/>
          <w:docGrid w:linePitch="462" w:charSpace="0"/>
        </w:sectPr>
      </w:pPr>
    </w:p>
    <w:p>
      <w:pPr>
        <w:tabs>
          <w:tab w:val="left" w:pos="900"/>
        </w:tabs>
        <w:spacing w:line="360" w:lineRule="auto"/>
        <w:jc w:val="center"/>
        <w:outlineLvl w:val="1"/>
        <w:rPr>
          <w:rFonts w:ascii="Times New Roman" w:hAnsi="Times New Roman"/>
          <w:b/>
          <w:color w:val="auto"/>
          <w:sz w:val="24"/>
          <w:szCs w:val="24"/>
          <w:highlight w:val="none"/>
        </w:rPr>
      </w:pPr>
      <w:bookmarkStart w:id="149" w:name="_Toc6253"/>
      <w:r>
        <w:rPr>
          <w:rFonts w:hint="eastAsia" w:ascii="Times New Roman" w:hAnsi="Times New Roman"/>
          <w:b/>
          <w:color w:val="auto"/>
          <w:sz w:val="28"/>
          <w:szCs w:val="28"/>
          <w:highlight w:val="none"/>
          <w:lang w:val="en-US" w:eastAsia="zh-CN"/>
        </w:rPr>
        <w:t>五</w:t>
      </w:r>
      <w:r>
        <w:rPr>
          <w:rFonts w:ascii="Times New Roman" w:hAnsi="Times New Roman"/>
          <w:b/>
          <w:color w:val="auto"/>
          <w:sz w:val="28"/>
          <w:szCs w:val="28"/>
          <w:highlight w:val="none"/>
        </w:rPr>
        <w:t>、商务要求响应/偏离表</w:t>
      </w:r>
      <w:bookmarkEnd w:id="149"/>
    </w:p>
    <w:p>
      <w:pPr>
        <w:spacing w:line="360" w:lineRule="auto"/>
        <w:jc w:val="center"/>
        <w:rPr>
          <w:rFonts w:ascii="Times New Roman" w:hAnsi="Times New Roman"/>
          <w:color w:val="auto"/>
          <w:sz w:val="24"/>
          <w:szCs w:val="24"/>
          <w:highlight w:val="none"/>
        </w:rPr>
      </w:pPr>
    </w:p>
    <w:p>
      <w:pPr>
        <w:spacing w:line="360" w:lineRule="auto"/>
        <w:rPr>
          <w:rFonts w:ascii="Times New Roman" w:hAnsi="Times New Roman"/>
          <w:b/>
          <w:color w:val="auto"/>
          <w:sz w:val="24"/>
          <w:szCs w:val="24"/>
          <w:highlight w:val="none"/>
        </w:rPr>
      </w:pPr>
      <w:r>
        <w:rPr>
          <w:rFonts w:ascii="Times New Roman" w:hAnsi="Times New Roman"/>
          <w:b/>
          <w:color w:val="auto"/>
          <w:sz w:val="24"/>
          <w:szCs w:val="24"/>
          <w:highlight w:val="none"/>
        </w:rPr>
        <w:t>项目名称：                                                    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998"/>
        <w:gridCol w:w="2464"/>
        <w:gridCol w:w="24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17" w:type="dxa"/>
            <w:vAlign w:val="center"/>
          </w:tcPr>
          <w:p>
            <w:pPr>
              <w:spacing w:line="360" w:lineRule="exact"/>
              <w:jc w:val="center"/>
              <w:rPr>
                <w:rFonts w:ascii="Times New Roman" w:hAnsi="Times New Roman"/>
                <w:b/>
                <w:color w:val="auto"/>
                <w:sz w:val="24"/>
                <w:szCs w:val="24"/>
                <w:highlight w:val="none"/>
              </w:rPr>
            </w:pPr>
            <w:r>
              <w:rPr>
                <w:rFonts w:ascii="Times New Roman" w:hAnsi="Times New Roman"/>
                <w:b/>
                <w:color w:val="auto"/>
                <w:sz w:val="24"/>
                <w:szCs w:val="24"/>
                <w:highlight w:val="none"/>
              </w:rPr>
              <w:t>序号</w:t>
            </w:r>
          </w:p>
        </w:tc>
        <w:tc>
          <w:tcPr>
            <w:tcW w:w="1998" w:type="dxa"/>
            <w:vAlign w:val="center"/>
          </w:tcPr>
          <w:p>
            <w:pPr>
              <w:spacing w:line="360" w:lineRule="exact"/>
              <w:jc w:val="center"/>
              <w:rPr>
                <w:rFonts w:ascii="Times New Roman" w:hAnsi="Times New Roman"/>
                <w:b/>
                <w:color w:val="auto"/>
                <w:sz w:val="24"/>
                <w:szCs w:val="24"/>
                <w:highlight w:val="none"/>
              </w:rPr>
            </w:pPr>
            <w:r>
              <w:rPr>
                <w:rFonts w:ascii="Times New Roman" w:hAnsi="Times New Roman"/>
                <w:b/>
                <w:color w:val="auto"/>
                <w:sz w:val="24"/>
                <w:szCs w:val="24"/>
                <w:highlight w:val="none"/>
              </w:rPr>
              <w:t>竞争性磋商文件条目号</w:t>
            </w:r>
          </w:p>
        </w:tc>
        <w:tc>
          <w:tcPr>
            <w:tcW w:w="2464" w:type="dxa"/>
            <w:vAlign w:val="center"/>
          </w:tcPr>
          <w:p>
            <w:pPr>
              <w:spacing w:line="360" w:lineRule="exact"/>
              <w:ind w:firstLine="99" w:firstLineChars="41"/>
              <w:jc w:val="center"/>
              <w:rPr>
                <w:rFonts w:ascii="Times New Roman" w:hAnsi="Times New Roman"/>
                <w:b/>
                <w:color w:val="auto"/>
                <w:sz w:val="24"/>
                <w:szCs w:val="24"/>
                <w:highlight w:val="none"/>
              </w:rPr>
            </w:pPr>
            <w:r>
              <w:rPr>
                <w:rFonts w:ascii="Times New Roman" w:hAnsi="Times New Roman"/>
                <w:b/>
                <w:color w:val="auto"/>
                <w:sz w:val="24"/>
                <w:szCs w:val="24"/>
                <w:highlight w:val="none"/>
              </w:rPr>
              <w:t>竞争性磋商文件要求</w:t>
            </w:r>
          </w:p>
        </w:tc>
        <w:tc>
          <w:tcPr>
            <w:tcW w:w="2411" w:type="dxa"/>
            <w:vAlign w:val="center"/>
          </w:tcPr>
          <w:p>
            <w:pPr>
              <w:spacing w:line="360" w:lineRule="exact"/>
              <w:jc w:val="center"/>
              <w:rPr>
                <w:rFonts w:ascii="Times New Roman" w:hAnsi="Times New Roman"/>
                <w:b/>
                <w:color w:val="auto"/>
                <w:sz w:val="24"/>
                <w:szCs w:val="24"/>
                <w:highlight w:val="none"/>
              </w:rPr>
            </w:pPr>
            <w:r>
              <w:rPr>
                <w:rFonts w:ascii="Times New Roman" w:hAnsi="Times New Roman"/>
                <w:b/>
                <w:color w:val="auto"/>
                <w:sz w:val="24"/>
                <w:szCs w:val="24"/>
                <w:highlight w:val="none"/>
              </w:rPr>
              <w:t>响应文件响应</w:t>
            </w:r>
          </w:p>
        </w:tc>
        <w:tc>
          <w:tcPr>
            <w:tcW w:w="1324" w:type="dxa"/>
            <w:vAlign w:val="center"/>
          </w:tcPr>
          <w:p>
            <w:pPr>
              <w:spacing w:line="360" w:lineRule="exact"/>
              <w:jc w:val="center"/>
              <w:rPr>
                <w:rFonts w:ascii="Times New Roman" w:hAnsi="Times New Roman"/>
                <w:b/>
                <w:color w:val="auto"/>
                <w:sz w:val="24"/>
                <w:szCs w:val="24"/>
                <w:highlight w:val="none"/>
              </w:rPr>
            </w:pPr>
            <w:r>
              <w:rPr>
                <w:rFonts w:ascii="Times New Roman" w:hAnsi="Times New Roman"/>
                <w:b/>
                <w:color w:val="auto"/>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bl>
    <w:p>
      <w:pPr>
        <w:spacing w:line="400" w:lineRule="exact"/>
        <w:rPr>
          <w:rFonts w:ascii="Times New Roman" w:hAnsi="Times New Roman"/>
          <w:color w:val="auto"/>
          <w:sz w:val="24"/>
          <w:highlight w:val="none"/>
        </w:rPr>
      </w:pPr>
      <w:r>
        <w:rPr>
          <w:rFonts w:ascii="Times New Roman" w:hAnsi="Times New Roman"/>
          <w:color w:val="auto"/>
          <w:sz w:val="24"/>
          <w:highlight w:val="none"/>
        </w:rPr>
        <w:t>注： 1.商务条款如与竞争性磋商文件无偏离的，则无须应答。如有偏离（包括正偏离和负偏离），请将偏离条款逐条应答。未明确应答的，均视为满足竞争性磋商文件要求。</w:t>
      </w:r>
      <w:r>
        <w:rPr>
          <w:rStyle w:val="296"/>
          <w:rFonts w:cs="Times New Roman"/>
          <w:b/>
          <w:bCs/>
          <w:color w:val="auto"/>
          <w:sz w:val="24"/>
          <w:highlight w:val="none"/>
        </w:rPr>
        <w:t>若第</w:t>
      </w:r>
      <w:r>
        <w:rPr>
          <w:rStyle w:val="296"/>
          <w:rFonts w:hint="eastAsia" w:cs="Times New Roman"/>
          <w:b/>
          <w:bCs/>
          <w:color w:val="auto"/>
          <w:sz w:val="24"/>
          <w:highlight w:val="none"/>
          <w:lang w:val="en-US"/>
        </w:rPr>
        <w:t>四</w:t>
      </w:r>
      <w:r>
        <w:rPr>
          <w:rStyle w:val="296"/>
          <w:rFonts w:cs="Times New Roman"/>
          <w:b/>
          <w:bCs/>
          <w:color w:val="auto"/>
          <w:sz w:val="24"/>
          <w:highlight w:val="none"/>
        </w:rPr>
        <w:t>章</w:t>
      </w:r>
      <w:r>
        <w:rPr>
          <w:rStyle w:val="296"/>
          <w:rFonts w:hint="eastAsia" w:cs="Times New Roman"/>
          <w:b/>
          <w:bCs/>
          <w:color w:val="auto"/>
          <w:sz w:val="24"/>
          <w:highlight w:val="none"/>
        </w:rPr>
        <w:t>采购项目技术、服条及其他商务要求</w:t>
      </w:r>
      <w:r>
        <w:rPr>
          <w:rStyle w:val="296"/>
          <w:rFonts w:cs="Times New Roman"/>
          <w:b/>
          <w:bCs/>
          <w:color w:val="auto"/>
          <w:sz w:val="24"/>
          <w:highlight w:val="none"/>
        </w:rPr>
        <w:t>或第六章</w:t>
      </w:r>
      <w:r>
        <w:rPr>
          <w:rStyle w:val="296"/>
          <w:rFonts w:hint="eastAsia" w:cs="Times New Roman"/>
          <w:b/>
          <w:bCs/>
          <w:color w:val="auto"/>
          <w:sz w:val="24"/>
          <w:highlight w:val="none"/>
          <w:lang w:val="en-US"/>
        </w:rPr>
        <w:t>评审</w:t>
      </w:r>
      <w:r>
        <w:rPr>
          <w:rStyle w:val="296"/>
          <w:rFonts w:cs="Times New Roman"/>
          <w:b/>
          <w:bCs/>
          <w:color w:val="auto"/>
          <w:sz w:val="24"/>
          <w:highlight w:val="none"/>
        </w:rPr>
        <w:t>办法明确要求提供相应证明文件的，则</w:t>
      </w:r>
      <w:r>
        <w:rPr>
          <w:rStyle w:val="296"/>
          <w:rFonts w:hint="eastAsia" w:cs="Times New Roman"/>
          <w:b/>
          <w:bCs/>
          <w:color w:val="auto"/>
          <w:sz w:val="24"/>
          <w:highlight w:val="none"/>
          <w:lang w:val="en-US"/>
        </w:rPr>
        <w:t>供应商</w:t>
      </w:r>
      <w:r>
        <w:rPr>
          <w:rStyle w:val="296"/>
          <w:rFonts w:cs="Times New Roman"/>
          <w:b/>
          <w:bCs/>
          <w:color w:val="auto"/>
          <w:sz w:val="24"/>
          <w:highlight w:val="none"/>
        </w:rPr>
        <w:t>应按要求提供证明文件，未提供或提供的材料不符合要求的均视为负偏离。</w:t>
      </w:r>
    </w:p>
    <w:p>
      <w:pPr>
        <w:spacing w:line="400" w:lineRule="exact"/>
        <w:rPr>
          <w:rFonts w:ascii="Times New Roman" w:hAnsi="Times New Roman"/>
          <w:color w:val="auto"/>
          <w:sz w:val="24"/>
          <w:highlight w:val="none"/>
        </w:rPr>
      </w:pPr>
      <w:r>
        <w:rPr>
          <w:rFonts w:ascii="Times New Roman" w:hAnsi="Times New Roman"/>
          <w:color w:val="auto"/>
          <w:sz w:val="24"/>
          <w:highlight w:val="none"/>
        </w:rPr>
        <w:t>2.供应商必须据实填写，不得虚假应答，否则将取消其报价或成交资格。</w:t>
      </w:r>
    </w:p>
    <w:p>
      <w:pPr>
        <w:spacing w:line="400" w:lineRule="exact"/>
        <w:ind w:left="674" w:leftChars="57" w:hanging="480" w:hangingChars="200"/>
        <w:rPr>
          <w:rFonts w:ascii="Times New Roman" w:hAnsi="Times New Roman"/>
          <w:color w:val="auto"/>
          <w:sz w:val="24"/>
          <w:szCs w:val="24"/>
          <w:highlight w:val="none"/>
          <w:u w:val="single"/>
        </w:rPr>
      </w:pPr>
    </w:p>
    <w:p>
      <w:pPr>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w:t>
      </w:r>
      <w:r>
        <w:rPr>
          <w:rFonts w:ascii="Times New Roman" w:hAnsi="Times New Roman"/>
          <w:color w:val="auto"/>
          <w:sz w:val="24"/>
          <w:szCs w:val="24"/>
          <w:highlight w:val="none"/>
          <w:u w:val="single"/>
        </w:rPr>
        <w:t>（全称并加盖公章）</w:t>
      </w:r>
    </w:p>
    <w:p>
      <w:pPr>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法定代表人或授权代表（签字或签章）</w:t>
      </w:r>
      <w:r>
        <w:rPr>
          <w:rFonts w:ascii="Times New Roman" w:hAnsi="Times New Roman"/>
          <w:bCs/>
          <w:color w:val="auto"/>
          <w:sz w:val="24"/>
          <w:szCs w:val="24"/>
          <w:highlight w:val="none"/>
        </w:rPr>
        <w:t>：</w:t>
      </w:r>
    </w:p>
    <w:p>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日期：</w:t>
      </w:r>
    </w:p>
    <w:p>
      <w:pPr>
        <w:pStyle w:val="2"/>
        <w:rPr>
          <w:rFonts w:ascii="Times New Roman"/>
          <w:b/>
          <w:color w:val="auto"/>
          <w:sz w:val="24"/>
          <w:szCs w:val="24"/>
          <w:highlight w:val="none"/>
        </w:rPr>
      </w:pPr>
    </w:p>
    <w:p>
      <w:pPr>
        <w:tabs>
          <w:tab w:val="left" w:pos="900"/>
        </w:tabs>
        <w:spacing w:line="360" w:lineRule="auto"/>
        <w:jc w:val="center"/>
        <w:outlineLvl w:val="1"/>
        <w:rPr>
          <w:rFonts w:ascii="Times New Roman" w:hAnsi="Times New Roman"/>
          <w:b/>
          <w:color w:val="auto"/>
          <w:sz w:val="28"/>
          <w:szCs w:val="28"/>
          <w:highlight w:val="none"/>
        </w:rPr>
        <w:sectPr>
          <w:pgSz w:w="11906" w:h="16838"/>
          <w:pgMar w:top="1134" w:right="1134" w:bottom="851" w:left="1474" w:header="851" w:footer="992" w:gutter="0"/>
          <w:cols w:space="720" w:num="1"/>
          <w:docGrid w:linePitch="312" w:charSpace="0"/>
        </w:sectPr>
      </w:pPr>
      <w:bookmarkStart w:id="150" w:name="_Toc23786"/>
    </w:p>
    <w:p>
      <w:pPr>
        <w:tabs>
          <w:tab w:val="left" w:pos="900"/>
        </w:tabs>
        <w:spacing w:line="360" w:lineRule="auto"/>
        <w:jc w:val="center"/>
        <w:outlineLvl w:val="1"/>
        <w:rPr>
          <w:rFonts w:ascii="Times New Roman" w:hAnsi="Times New Roman"/>
          <w:b/>
          <w:color w:val="auto"/>
          <w:sz w:val="24"/>
          <w:szCs w:val="24"/>
          <w:highlight w:val="none"/>
        </w:rPr>
      </w:pPr>
      <w:r>
        <w:rPr>
          <w:rFonts w:hint="eastAsia" w:ascii="Times New Roman" w:hAnsi="Times New Roman"/>
          <w:b/>
          <w:color w:val="auto"/>
          <w:sz w:val="28"/>
          <w:szCs w:val="28"/>
          <w:highlight w:val="none"/>
          <w:lang w:val="en-US" w:eastAsia="zh-CN"/>
        </w:rPr>
        <w:t>六</w:t>
      </w:r>
      <w:r>
        <w:rPr>
          <w:rFonts w:ascii="Times New Roman" w:hAnsi="Times New Roman"/>
          <w:b/>
          <w:color w:val="auto"/>
          <w:sz w:val="28"/>
          <w:szCs w:val="28"/>
          <w:highlight w:val="none"/>
        </w:rPr>
        <w:t>、技术、服务要求响应/偏离表</w:t>
      </w:r>
      <w:bookmarkEnd w:id="150"/>
    </w:p>
    <w:p>
      <w:pPr>
        <w:spacing w:line="360" w:lineRule="auto"/>
        <w:jc w:val="center"/>
        <w:rPr>
          <w:rFonts w:ascii="Times New Roman" w:hAnsi="Times New Roman"/>
          <w:color w:val="auto"/>
          <w:sz w:val="24"/>
          <w:szCs w:val="24"/>
          <w:highlight w:val="none"/>
        </w:rPr>
      </w:pPr>
    </w:p>
    <w:p>
      <w:pPr>
        <w:spacing w:line="360" w:lineRule="auto"/>
        <w:rPr>
          <w:rFonts w:ascii="Times New Roman" w:hAnsi="Times New Roman"/>
          <w:b/>
          <w:color w:val="auto"/>
          <w:sz w:val="24"/>
          <w:szCs w:val="24"/>
          <w:highlight w:val="none"/>
        </w:rPr>
      </w:pPr>
      <w:r>
        <w:rPr>
          <w:rFonts w:ascii="Times New Roman" w:hAnsi="Times New Roman"/>
          <w:b/>
          <w:color w:val="auto"/>
          <w:sz w:val="24"/>
          <w:szCs w:val="24"/>
          <w:highlight w:val="none"/>
        </w:rPr>
        <w:t>项目名称：                                                   项目编号：</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998"/>
        <w:gridCol w:w="2464"/>
        <w:gridCol w:w="241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17" w:type="dxa"/>
            <w:vAlign w:val="center"/>
          </w:tcPr>
          <w:p>
            <w:pPr>
              <w:spacing w:line="360" w:lineRule="exact"/>
              <w:jc w:val="center"/>
              <w:rPr>
                <w:rFonts w:ascii="Times New Roman" w:hAnsi="Times New Roman"/>
                <w:b/>
                <w:color w:val="auto"/>
                <w:sz w:val="24"/>
                <w:szCs w:val="24"/>
                <w:highlight w:val="none"/>
              </w:rPr>
            </w:pPr>
            <w:r>
              <w:rPr>
                <w:rFonts w:ascii="Times New Roman" w:hAnsi="Times New Roman"/>
                <w:b/>
                <w:color w:val="auto"/>
                <w:sz w:val="24"/>
                <w:szCs w:val="24"/>
                <w:highlight w:val="none"/>
              </w:rPr>
              <w:t>序号</w:t>
            </w:r>
          </w:p>
        </w:tc>
        <w:tc>
          <w:tcPr>
            <w:tcW w:w="1998" w:type="dxa"/>
            <w:vAlign w:val="center"/>
          </w:tcPr>
          <w:p>
            <w:pPr>
              <w:spacing w:line="360" w:lineRule="exact"/>
              <w:jc w:val="center"/>
              <w:rPr>
                <w:rFonts w:ascii="Times New Roman" w:hAnsi="Times New Roman"/>
                <w:b/>
                <w:color w:val="auto"/>
                <w:sz w:val="24"/>
                <w:szCs w:val="24"/>
                <w:highlight w:val="none"/>
              </w:rPr>
            </w:pPr>
            <w:r>
              <w:rPr>
                <w:rFonts w:ascii="Times New Roman" w:hAnsi="Times New Roman"/>
                <w:b/>
                <w:color w:val="auto"/>
                <w:sz w:val="24"/>
                <w:szCs w:val="24"/>
                <w:highlight w:val="none"/>
              </w:rPr>
              <w:t>竞争性磋商文件条目号</w:t>
            </w:r>
          </w:p>
        </w:tc>
        <w:tc>
          <w:tcPr>
            <w:tcW w:w="2464" w:type="dxa"/>
            <w:vAlign w:val="center"/>
          </w:tcPr>
          <w:p>
            <w:pPr>
              <w:spacing w:line="360" w:lineRule="exact"/>
              <w:ind w:firstLine="99" w:firstLineChars="41"/>
              <w:jc w:val="center"/>
              <w:rPr>
                <w:rFonts w:ascii="Times New Roman" w:hAnsi="Times New Roman"/>
                <w:b/>
                <w:color w:val="auto"/>
                <w:sz w:val="24"/>
                <w:szCs w:val="24"/>
                <w:highlight w:val="none"/>
              </w:rPr>
            </w:pPr>
            <w:r>
              <w:rPr>
                <w:rFonts w:ascii="Times New Roman" w:hAnsi="Times New Roman"/>
                <w:b/>
                <w:color w:val="auto"/>
                <w:sz w:val="24"/>
                <w:szCs w:val="24"/>
                <w:highlight w:val="none"/>
              </w:rPr>
              <w:t>竞争性磋商文件要求</w:t>
            </w:r>
          </w:p>
        </w:tc>
        <w:tc>
          <w:tcPr>
            <w:tcW w:w="2411" w:type="dxa"/>
            <w:vAlign w:val="center"/>
          </w:tcPr>
          <w:p>
            <w:pPr>
              <w:spacing w:line="360" w:lineRule="exact"/>
              <w:jc w:val="center"/>
              <w:rPr>
                <w:rFonts w:ascii="Times New Roman" w:hAnsi="Times New Roman"/>
                <w:b/>
                <w:color w:val="auto"/>
                <w:sz w:val="24"/>
                <w:szCs w:val="24"/>
                <w:highlight w:val="none"/>
              </w:rPr>
            </w:pPr>
            <w:r>
              <w:rPr>
                <w:rFonts w:ascii="Times New Roman" w:hAnsi="Times New Roman"/>
                <w:b/>
                <w:color w:val="auto"/>
                <w:sz w:val="24"/>
                <w:szCs w:val="24"/>
                <w:highlight w:val="none"/>
              </w:rPr>
              <w:t>响应文件响应</w:t>
            </w:r>
          </w:p>
        </w:tc>
        <w:tc>
          <w:tcPr>
            <w:tcW w:w="1324" w:type="dxa"/>
            <w:vAlign w:val="center"/>
          </w:tcPr>
          <w:p>
            <w:pPr>
              <w:spacing w:line="360" w:lineRule="exact"/>
              <w:jc w:val="center"/>
              <w:rPr>
                <w:rFonts w:ascii="Times New Roman" w:hAnsi="Times New Roman"/>
                <w:b/>
                <w:color w:val="auto"/>
                <w:sz w:val="24"/>
                <w:szCs w:val="24"/>
                <w:highlight w:val="none"/>
              </w:rPr>
            </w:pPr>
            <w:r>
              <w:rPr>
                <w:rFonts w:ascii="Times New Roman" w:hAnsi="Times New Roman"/>
                <w:b/>
                <w:color w:val="auto"/>
                <w:sz w:val="24"/>
                <w:szCs w:val="24"/>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317" w:type="dxa"/>
            <w:vAlign w:val="center"/>
          </w:tcPr>
          <w:p>
            <w:pPr>
              <w:spacing w:line="360" w:lineRule="auto"/>
              <w:rPr>
                <w:rFonts w:ascii="Times New Roman" w:hAnsi="Times New Roman"/>
                <w:color w:val="auto"/>
                <w:sz w:val="24"/>
                <w:szCs w:val="24"/>
                <w:highlight w:val="none"/>
              </w:rPr>
            </w:pPr>
          </w:p>
        </w:tc>
        <w:tc>
          <w:tcPr>
            <w:tcW w:w="1998" w:type="dxa"/>
            <w:vAlign w:val="center"/>
          </w:tcPr>
          <w:p>
            <w:pPr>
              <w:spacing w:line="360" w:lineRule="auto"/>
              <w:rPr>
                <w:rFonts w:ascii="Times New Roman" w:hAnsi="Times New Roman"/>
                <w:color w:val="auto"/>
                <w:sz w:val="24"/>
                <w:szCs w:val="24"/>
                <w:highlight w:val="none"/>
              </w:rPr>
            </w:pPr>
          </w:p>
        </w:tc>
        <w:tc>
          <w:tcPr>
            <w:tcW w:w="2464" w:type="dxa"/>
            <w:vAlign w:val="center"/>
          </w:tcPr>
          <w:p>
            <w:pPr>
              <w:spacing w:line="360" w:lineRule="auto"/>
              <w:rPr>
                <w:rFonts w:ascii="Times New Roman" w:hAnsi="Times New Roman"/>
                <w:color w:val="auto"/>
                <w:sz w:val="24"/>
                <w:szCs w:val="24"/>
                <w:highlight w:val="none"/>
              </w:rPr>
            </w:pPr>
          </w:p>
        </w:tc>
        <w:tc>
          <w:tcPr>
            <w:tcW w:w="2411" w:type="dxa"/>
            <w:vAlign w:val="center"/>
          </w:tcPr>
          <w:p>
            <w:pPr>
              <w:spacing w:line="360" w:lineRule="auto"/>
              <w:rPr>
                <w:rFonts w:ascii="Times New Roman" w:hAnsi="Times New Roman"/>
                <w:color w:val="auto"/>
                <w:sz w:val="24"/>
                <w:szCs w:val="24"/>
                <w:highlight w:val="none"/>
              </w:rPr>
            </w:pPr>
          </w:p>
        </w:tc>
        <w:tc>
          <w:tcPr>
            <w:tcW w:w="1324" w:type="dxa"/>
            <w:vAlign w:val="center"/>
          </w:tcPr>
          <w:p>
            <w:pPr>
              <w:spacing w:line="360" w:lineRule="auto"/>
              <w:rPr>
                <w:rFonts w:ascii="Times New Roman" w:hAnsi="Times New Roman"/>
                <w:color w:val="auto"/>
                <w:sz w:val="24"/>
                <w:szCs w:val="24"/>
                <w:highlight w:val="none"/>
              </w:rPr>
            </w:pPr>
          </w:p>
        </w:tc>
      </w:tr>
    </w:tbl>
    <w:p>
      <w:pPr>
        <w:spacing w:line="400" w:lineRule="exact"/>
        <w:rPr>
          <w:rFonts w:ascii="Times New Roman" w:hAnsi="Times New Roman"/>
          <w:color w:val="auto"/>
          <w:sz w:val="24"/>
          <w:highlight w:val="none"/>
        </w:rPr>
      </w:pPr>
      <w:r>
        <w:rPr>
          <w:rFonts w:ascii="Times New Roman" w:hAnsi="Times New Roman"/>
          <w:color w:val="auto"/>
          <w:sz w:val="24"/>
          <w:highlight w:val="none"/>
        </w:rPr>
        <w:t>注：  1.技术、服务条款如与竞争性磋商文件无偏离的，则无须应答。如有偏离（包括正偏离和负偏离），请将偏离条款逐条应答。未明确应答的，均视为满足竞争性磋商文件要求。</w:t>
      </w:r>
      <w:r>
        <w:rPr>
          <w:rStyle w:val="296"/>
          <w:rFonts w:cs="Times New Roman"/>
          <w:b/>
          <w:bCs/>
          <w:color w:val="auto"/>
          <w:sz w:val="24"/>
          <w:highlight w:val="none"/>
        </w:rPr>
        <w:t>若第</w:t>
      </w:r>
      <w:r>
        <w:rPr>
          <w:rStyle w:val="296"/>
          <w:rFonts w:hint="eastAsia" w:cs="Times New Roman"/>
          <w:b/>
          <w:bCs/>
          <w:color w:val="auto"/>
          <w:sz w:val="24"/>
          <w:highlight w:val="none"/>
          <w:lang w:val="en-US"/>
        </w:rPr>
        <w:t>四</w:t>
      </w:r>
      <w:r>
        <w:rPr>
          <w:rStyle w:val="296"/>
          <w:rFonts w:cs="Times New Roman"/>
          <w:b/>
          <w:bCs/>
          <w:color w:val="auto"/>
          <w:sz w:val="24"/>
          <w:highlight w:val="none"/>
        </w:rPr>
        <w:t>章</w:t>
      </w:r>
      <w:r>
        <w:rPr>
          <w:rStyle w:val="296"/>
          <w:rFonts w:hint="eastAsia" w:cs="Times New Roman"/>
          <w:b/>
          <w:bCs/>
          <w:color w:val="auto"/>
          <w:sz w:val="24"/>
          <w:highlight w:val="none"/>
        </w:rPr>
        <w:t>采购项目技术、服条及其他商务要求</w:t>
      </w:r>
      <w:r>
        <w:rPr>
          <w:rStyle w:val="296"/>
          <w:rFonts w:cs="Times New Roman"/>
          <w:b/>
          <w:bCs/>
          <w:color w:val="auto"/>
          <w:sz w:val="24"/>
          <w:highlight w:val="none"/>
        </w:rPr>
        <w:t>或第六章</w:t>
      </w:r>
      <w:r>
        <w:rPr>
          <w:rStyle w:val="296"/>
          <w:rFonts w:hint="eastAsia" w:cs="Times New Roman"/>
          <w:b/>
          <w:bCs/>
          <w:color w:val="auto"/>
          <w:sz w:val="24"/>
          <w:highlight w:val="none"/>
          <w:lang w:val="en-US"/>
        </w:rPr>
        <w:t>评审</w:t>
      </w:r>
      <w:r>
        <w:rPr>
          <w:rStyle w:val="296"/>
          <w:rFonts w:cs="Times New Roman"/>
          <w:b/>
          <w:bCs/>
          <w:color w:val="auto"/>
          <w:sz w:val="24"/>
          <w:highlight w:val="none"/>
        </w:rPr>
        <w:t>办法明确要求提供相应证明文件的，则</w:t>
      </w:r>
      <w:r>
        <w:rPr>
          <w:rStyle w:val="296"/>
          <w:rFonts w:hint="eastAsia" w:cs="Times New Roman"/>
          <w:b/>
          <w:bCs/>
          <w:color w:val="auto"/>
          <w:sz w:val="24"/>
          <w:highlight w:val="none"/>
          <w:lang w:val="en-US"/>
        </w:rPr>
        <w:t>供应商</w:t>
      </w:r>
      <w:r>
        <w:rPr>
          <w:rStyle w:val="296"/>
          <w:rFonts w:cs="Times New Roman"/>
          <w:b/>
          <w:bCs/>
          <w:color w:val="auto"/>
          <w:sz w:val="24"/>
          <w:highlight w:val="none"/>
        </w:rPr>
        <w:t>应按要求提供证明文件，未提供或提供的材料不符合要求的均视为负偏离。</w:t>
      </w:r>
    </w:p>
    <w:p>
      <w:pPr>
        <w:spacing w:line="400" w:lineRule="exact"/>
        <w:rPr>
          <w:rFonts w:ascii="Times New Roman" w:hAnsi="Times New Roman"/>
          <w:color w:val="auto"/>
          <w:sz w:val="24"/>
          <w:highlight w:val="none"/>
        </w:rPr>
      </w:pPr>
      <w:r>
        <w:rPr>
          <w:rFonts w:ascii="Times New Roman" w:hAnsi="Times New Roman"/>
          <w:color w:val="auto"/>
          <w:sz w:val="24"/>
          <w:highlight w:val="none"/>
        </w:rPr>
        <w:t>2.供应商必须据实填写，不得虚假应答，否则将取消其报价或成交资格。</w:t>
      </w:r>
    </w:p>
    <w:p>
      <w:pPr>
        <w:spacing w:line="400" w:lineRule="exact"/>
        <w:rPr>
          <w:rFonts w:ascii="Times New Roman" w:hAnsi="Times New Roman"/>
          <w:color w:val="auto"/>
          <w:sz w:val="24"/>
          <w:highlight w:val="none"/>
        </w:rPr>
      </w:pPr>
    </w:p>
    <w:p>
      <w:pPr>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w:t>
      </w:r>
      <w:r>
        <w:rPr>
          <w:rFonts w:ascii="Times New Roman" w:hAnsi="Times New Roman"/>
          <w:color w:val="auto"/>
          <w:sz w:val="24"/>
          <w:szCs w:val="24"/>
          <w:highlight w:val="none"/>
          <w:u w:val="single"/>
        </w:rPr>
        <w:t>（全称并加盖公章）</w:t>
      </w:r>
    </w:p>
    <w:p>
      <w:pPr>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法定代表人或授权代表（签字或签章）</w:t>
      </w:r>
      <w:r>
        <w:rPr>
          <w:rFonts w:ascii="Times New Roman" w:hAnsi="Times New Roman"/>
          <w:bCs/>
          <w:color w:val="auto"/>
          <w:sz w:val="24"/>
          <w:szCs w:val="24"/>
          <w:highlight w:val="none"/>
        </w:rPr>
        <w:t>：</w:t>
      </w:r>
    </w:p>
    <w:p>
      <w:pPr>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日期：</w:t>
      </w:r>
    </w:p>
    <w:p>
      <w:pPr>
        <w:spacing w:line="360" w:lineRule="auto"/>
        <w:ind w:right="480"/>
        <w:rPr>
          <w:rFonts w:ascii="Times New Roman" w:hAnsi="Times New Roman"/>
          <w:b/>
          <w:color w:val="auto"/>
          <w:sz w:val="24"/>
          <w:szCs w:val="24"/>
          <w:highlight w:val="none"/>
        </w:rPr>
        <w:sectPr>
          <w:pgSz w:w="11906" w:h="16838"/>
          <w:pgMar w:top="1134" w:right="1134" w:bottom="851" w:left="1474" w:header="851" w:footer="992" w:gutter="0"/>
          <w:cols w:space="720" w:num="1"/>
          <w:docGrid w:linePitch="312" w:charSpace="0"/>
        </w:sectPr>
      </w:pPr>
    </w:p>
    <w:p>
      <w:pPr>
        <w:spacing w:line="360" w:lineRule="auto"/>
        <w:jc w:val="center"/>
        <w:outlineLvl w:val="1"/>
        <w:rPr>
          <w:rFonts w:ascii="Times New Roman" w:hAnsi="Times New Roman"/>
          <w:b/>
          <w:color w:val="auto"/>
          <w:sz w:val="24"/>
          <w:szCs w:val="24"/>
          <w:highlight w:val="none"/>
        </w:rPr>
      </w:pPr>
      <w:bookmarkStart w:id="151" w:name="_Toc18520"/>
      <w:r>
        <w:rPr>
          <w:rFonts w:hint="eastAsia" w:ascii="Times New Roman" w:hAnsi="Times New Roman"/>
          <w:b/>
          <w:color w:val="auto"/>
          <w:sz w:val="28"/>
          <w:szCs w:val="28"/>
          <w:highlight w:val="none"/>
          <w:lang w:val="en-US" w:eastAsia="zh-CN"/>
        </w:rPr>
        <w:t>七</w:t>
      </w:r>
      <w:r>
        <w:rPr>
          <w:rFonts w:ascii="Times New Roman" w:hAnsi="Times New Roman"/>
          <w:b/>
          <w:color w:val="auto"/>
          <w:sz w:val="28"/>
          <w:szCs w:val="28"/>
          <w:highlight w:val="none"/>
        </w:rPr>
        <w:t>、供应商概况表</w:t>
      </w:r>
      <w:bookmarkEnd w:id="151"/>
    </w:p>
    <w:tbl>
      <w:tblPr>
        <w:tblStyle w:val="46"/>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97"/>
        <w:gridCol w:w="1028"/>
        <w:gridCol w:w="1328"/>
        <w:gridCol w:w="1332"/>
        <w:gridCol w:w="8"/>
        <w:gridCol w:w="1410"/>
        <w:gridCol w:w="376"/>
        <w:gridCol w:w="870"/>
        <w:gridCol w:w="116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供应商名称</w:t>
            </w:r>
          </w:p>
        </w:tc>
        <w:tc>
          <w:tcPr>
            <w:tcW w:w="7517" w:type="dxa"/>
            <w:gridSpan w:val="8"/>
            <w:vAlign w:val="center"/>
          </w:tcPr>
          <w:p>
            <w:pPr>
              <w:autoSpaceDE w:val="0"/>
              <w:autoSpaceDN w:val="0"/>
              <w:spacing w:line="360" w:lineRule="auto"/>
              <w:jc w:val="center"/>
              <w:rPr>
                <w:rFonts w:ascii="Times New Roman" w:hAnsi="Times New Roman"/>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注册地址</w:t>
            </w:r>
          </w:p>
        </w:tc>
        <w:tc>
          <w:tcPr>
            <w:tcW w:w="3696" w:type="dxa"/>
            <w:gridSpan w:val="4"/>
            <w:vAlign w:val="center"/>
          </w:tcPr>
          <w:p>
            <w:pPr>
              <w:autoSpaceDE w:val="0"/>
              <w:autoSpaceDN w:val="0"/>
              <w:spacing w:line="360" w:lineRule="auto"/>
              <w:jc w:val="center"/>
              <w:rPr>
                <w:rFonts w:ascii="Times New Roman" w:hAnsi="Times New Roman"/>
                <w:color w:val="auto"/>
                <w:sz w:val="24"/>
                <w:szCs w:val="24"/>
                <w:highlight w:val="none"/>
              </w:rPr>
            </w:pPr>
          </w:p>
        </w:tc>
        <w:tc>
          <w:tcPr>
            <w:tcW w:w="1410"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邮政编码</w:t>
            </w:r>
          </w:p>
        </w:tc>
        <w:tc>
          <w:tcPr>
            <w:tcW w:w="2411" w:type="dxa"/>
            <w:gridSpan w:val="3"/>
            <w:vAlign w:val="center"/>
          </w:tcPr>
          <w:p>
            <w:pPr>
              <w:autoSpaceDE w:val="0"/>
              <w:autoSpaceDN w:val="0"/>
              <w:spacing w:line="360" w:lineRule="auto"/>
              <w:jc w:val="center"/>
              <w:rPr>
                <w:rFonts w:ascii="Times New Roman" w:hAnsi="Times New Roman"/>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997" w:type="dxa"/>
            <w:vMerge w:val="restart"/>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联系方式</w:t>
            </w:r>
          </w:p>
        </w:tc>
        <w:tc>
          <w:tcPr>
            <w:tcW w:w="1028"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联系人</w:t>
            </w:r>
          </w:p>
        </w:tc>
        <w:tc>
          <w:tcPr>
            <w:tcW w:w="2660" w:type="dxa"/>
            <w:gridSpan w:val="2"/>
            <w:vAlign w:val="center"/>
          </w:tcPr>
          <w:p>
            <w:pPr>
              <w:autoSpaceDE w:val="0"/>
              <w:autoSpaceDN w:val="0"/>
              <w:spacing w:line="360" w:lineRule="auto"/>
              <w:jc w:val="center"/>
              <w:rPr>
                <w:rFonts w:ascii="Times New Roman" w:hAnsi="Times New Roman"/>
                <w:color w:val="auto"/>
                <w:sz w:val="24"/>
                <w:szCs w:val="24"/>
                <w:highlight w:val="none"/>
              </w:rPr>
            </w:pPr>
          </w:p>
        </w:tc>
        <w:tc>
          <w:tcPr>
            <w:tcW w:w="1418" w:type="dxa"/>
            <w:gridSpan w:val="2"/>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电话</w:t>
            </w:r>
          </w:p>
        </w:tc>
        <w:tc>
          <w:tcPr>
            <w:tcW w:w="2411" w:type="dxa"/>
            <w:gridSpan w:val="3"/>
            <w:vAlign w:val="center"/>
          </w:tcPr>
          <w:p>
            <w:pPr>
              <w:autoSpaceDE w:val="0"/>
              <w:autoSpaceDN w:val="0"/>
              <w:spacing w:line="360" w:lineRule="auto"/>
              <w:jc w:val="center"/>
              <w:rPr>
                <w:rFonts w:ascii="Times New Roman" w:hAnsi="Times New Roman"/>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1997" w:type="dxa"/>
            <w:vMerge w:val="continue"/>
            <w:vAlign w:val="center"/>
          </w:tcPr>
          <w:p>
            <w:pPr>
              <w:autoSpaceDE w:val="0"/>
              <w:autoSpaceDN w:val="0"/>
              <w:spacing w:line="360" w:lineRule="auto"/>
              <w:jc w:val="center"/>
              <w:rPr>
                <w:rFonts w:ascii="Times New Roman" w:hAnsi="Times New Roman"/>
                <w:color w:val="auto"/>
                <w:sz w:val="24"/>
                <w:szCs w:val="24"/>
                <w:highlight w:val="none"/>
              </w:rPr>
            </w:pPr>
          </w:p>
        </w:tc>
        <w:tc>
          <w:tcPr>
            <w:tcW w:w="1028"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传真</w:t>
            </w:r>
          </w:p>
        </w:tc>
        <w:tc>
          <w:tcPr>
            <w:tcW w:w="2660" w:type="dxa"/>
            <w:gridSpan w:val="2"/>
            <w:vAlign w:val="center"/>
          </w:tcPr>
          <w:p>
            <w:pPr>
              <w:autoSpaceDE w:val="0"/>
              <w:autoSpaceDN w:val="0"/>
              <w:spacing w:line="360" w:lineRule="auto"/>
              <w:jc w:val="center"/>
              <w:rPr>
                <w:rFonts w:ascii="Times New Roman" w:hAnsi="Times New Roman"/>
                <w:color w:val="auto"/>
                <w:sz w:val="24"/>
                <w:szCs w:val="24"/>
                <w:highlight w:val="none"/>
              </w:rPr>
            </w:pPr>
          </w:p>
        </w:tc>
        <w:tc>
          <w:tcPr>
            <w:tcW w:w="1418" w:type="dxa"/>
            <w:gridSpan w:val="2"/>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网址</w:t>
            </w:r>
          </w:p>
        </w:tc>
        <w:tc>
          <w:tcPr>
            <w:tcW w:w="2411" w:type="dxa"/>
            <w:gridSpan w:val="3"/>
            <w:vAlign w:val="center"/>
          </w:tcPr>
          <w:p>
            <w:pPr>
              <w:autoSpaceDE w:val="0"/>
              <w:autoSpaceDN w:val="0"/>
              <w:spacing w:line="360" w:lineRule="auto"/>
              <w:jc w:val="center"/>
              <w:rPr>
                <w:rFonts w:ascii="Times New Roman" w:hAnsi="Times New Roman"/>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组织结构</w:t>
            </w:r>
          </w:p>
        </w:tc>
        <w:tc>
          <w:tcPr>
            <w:tcW w:w="7517" w:type="dxa"/>
            <w:gridSpan w:val="8"/>
            <w:vAlign w:val="center"/>
          </w:tcPr>
          <w:p>
            <w:pPr>
              <w:autoSpaceDE w:val="0"/>
              <w:autoSpaceDN w:val="0"/>
              <w:spacing w:line="360" w:lineRule="auto"/>
              <w:jc w:val="center"/>
              <w:rPr>
                <w:rFonts w:ascii="Times New Roman" w:hAnsi="Times New Roman"/>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法定代表人</w:t>
            </w:r>
          </w:p>
        </w:tc>
        <w:tc>
          <w:tcPr>
            <w:tcW w:w="1028"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姓名</w:t>
            </w:r>
          </w:p>
        </w:tc>
        <w:tc>
          <w:tcPr>
            <w:tcW w:w="1328" w:type="dxa"/>
            <w:vAlign w:val="center"/>
          </w:tcPr>
          <w:p>
            <w:pPr>
              <w:autoSpaceDE w:val="0"/>
              <w:autoSpaceDN w:val="0"/>
              <w:spacing w:line="360" w:lineRule="auto"/>
              <w:jc w:val="center"/>
              <w:rPr>
                <w:rFonts w:ascii="Times New Roman" w:hAnsi="Times New Roman"/>
                <w:color w:val="auto"/>
                <w:sz w:val="24"/>
                <w:szCs w:val="24"/>
                <w:highlight w:val="none"/>
              </w:rPr>
            </w:pPr>
          </w:p>
        </w:tc>
        <w:tc>
          <w:tcPr>
            <w:tcW w:w="1332"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技术职称</w:t>
            </w:r>
          </w:p>
        </w:tc>
        <w:tc>
          <w:tcPr>
            <w:tcW w:w="1418" w:type="dxa"/>
            <w:gridSpan w:val="2"/>
            <w:vAlign w:val="center"/>
          </w:tcPr>
          <w:p>
            <w:pPr>
              <w:autoSpaceDE w:val="0"/>
              <w:autoSpaceDN w:val="0"/>
              <w:spacing w:line="360" w:lineRule="auto"/>
              <w:jc w:val="center"/>
              <w:rPr>
                <w:rFonts w:ascii="Times New Roman" w:hAnsi="Times New Roman"/>
                <w:color w:val="auto"/>
                <w:sz w:val="24"/>
                <w:szCs w:val="24"/>
                <w:highlight w:val="none"/>
              </w:rPr>
            </w:pPr>
          </w:p>
        </w:tc>
        <w:tc>
          <w:tcPr>
            <w:tcW w:w="1246" w:type="dxa"/>
            <w:gridSpan w:val="2"/>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电话</w:t>
            </w:r>
          </w:p>
        </w:tc>
        <w:tc>
          <w:tcPr>
            <w:tcW w:w="1165" w:type="dxa"/>
            <w:vAlign w:val="center"/>
          </w:tcPr>
          <w:p>
            <w:pPr>
              <w:autoSpaceDE w:val="0"/>
              <w:autoSpaceDN w:val="0"/>
              <w:spacing w:line="360" w:lineRule="auto"/>
              <w:jc w:val="center"/>
              <w:rPr>
                <w:rFonts w:ascii="Times New Roman" w:hAnsi="Times New Roman"/>
                <w:b/>
                <w:bCs/>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技术负责人</w:t>
            </w:r>
          </w:p>
        </w:tc>
        <w:tc>
          <w:tcPr>
            <w:tcW w:w="1028"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姓名</w:t>
            </w:r>
          </w:p>
        </w:tc>
        <w:tc>
          <w:tcPr>
            <w:tcW w:w="1328" w:type="dxa"/>
            <w:vAlign w:val="center"/>
          </w:tcPr>
          <w:p>
            <w:pPr>
              <w:autoSpaceDE w:val="0"/>
              <w:autoSpaceDN w:val="0"/>
              <w:spacing w:line="360" w:lineRule="auto"/>
              <w:jc w:val="center"/>
              <w:rPr>
                <w:rFonts w:ascii="Times New Roman" w:hAnsi="Times New Roman"/>
                <w:color w:val="auto"/>
                <w:sz w:val="24"/>
                <w:szCs w:val="24"/>
                <w:highlight w:val="none"/>
              </w:rPr>
            </w:pPr>
          </w:p>
        </w:tc>
        <w:tc>
          <w:tcPr>
            <w:tcW w:w="1332"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技术职称</w:t>
            </w:r>
          </w:p>
        </w:tc>
        <w:tc>
          <w:tcPr>
            <w:tcW w:w="1418" w:type="dxa"/>
            <w:gridSpan w:val="2"/>
            <w:vAlign w:val="center"/>
          </w:tcPr>
          <w:p>
            <w:pPr>
              <w:autoSpaceDE w:val="0"/>
              <w:autoSpaceDN w:val="0"/>
              <w:spacing w:line="360" w:lineRule="auto"/>
              <w:jc w:val="center"/>
              <w:rPr>
                <w:rFonts w:ascii="Times New Roman" w:hAnsi="Times New Roman"/>
                <w:color w:val="auto"/>
                <w:sz w:val="24"/>
                <w:szCs w:val="24"/>
                <w:highlight w:val="none"/>
              </w:rPr>
            </w:pPr>
          </w:p>
        </w:tc>
        <w:tc>
          <w:tcPr>
            <w:tcW w:w="1246" w:type="dxa"/>
            <w:gridSpan w:val="2"/>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电话</w:t>
            </w:r>
          </w:p>
        </w:tc>
        <w:tc>
          <w:tcPr>
            <w:tcW w:w="1165" w:type="dxa"/>
            <w:vAlign w:val="center"/>
          </w:tcPr>
          <w:p>
            <w:pPr>
              <w:autoSpaceDE w:val="0"/>
              <w:autoSpaceDN w:val="0"/>
              <w:spacing w:line="360" w:lineRule="auto"/>
              <w:jc w:val="center"/>
              <w:rPr>
                <w:rFonts w:ascii="Times New Roman" w:hAnsi="Times New Roman"/>
                <w:b/>
                <w:bCs/>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成立时间</w:t>
            </w:r>
          </w:p>
        </w:tc>
        <w:tc>
          <w:tcPr>
            <w:tcW w:w="2356" w:type="dxa"/>
            <w:gridSpan w:val="2"/>
            <w:vAlign w:val="center"/>
          </w:tcPr>
          <w:p>
            <w:pPr>
              <w:autoSpaceDE w:val="0"/>
              <w:autoSpaceDN w:val="0"/>
              <w:spacing w:line="360" w:lineRule="auto"/>
              <w:jc w:val="center"/>
              <w:rPr>
                <w:rFonts w:ascii="Times New Roman" w:hAnsi="Times New Roman"/>
                <w:color w:val="auto"/>
                <w:sz w:val="24"/>
                <w:szCs w:val="24"/>
                <w:highlight w:val="none"/>
              </w:rPr>
            </w:pPr>
          </w:p>
        </w:tc>
        <w:tc>
          <w:tcPr>
            <w:tcW w:w="5161" w:type="dxa"/>
            <w:gridSpan w:val="6"/>
            <w:vAlign w:val="center"/>
          </w:tcPr>
          <w:p>
            <w:pPr>
              <w:autoSpaceDE w:val="0"/>
              <w:autoSpaceDN w:val="0"/>
              <w:spacing w:line="360" w:lineRule="auto"/>
              <w:ind w:firstLine="1680" w:firstLineChars="700"/>
              <w:rPr>
                <w:rFonts w:ascii="Times New Roman" w:hAnsi="Times New Roman"/>
                <w:color w:val="auto"/>
                <w:sz w:val="24"/>
                <w:szCs w:val="24"/>
                <w:highlight w:val="none"/>
              </w:rPr>
            </w:pPr>
            <w:r>
              <w:rPr>
                <w:rFonts w:ascii="Times New Roman" w:hAnsi="Times New Roman"/>
                <w:color w:val="auto"/>
                <w:sz w:val="24"/>
                <w:szCs w:val="24"/>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企业资质等级</w:t>
            </w:r>
          </w:p>
        </w:tc>
        <w:tc>
          <w:tcPr>
            <w:tcW w:w="2356" w:type="dxa"/>
            <w:gridSpan w:val="2"/>
            <w:vAlign w:val="center"/>
          </w:tcPr>
          <w:p>
            <w:pPr>
              <w:autoSpaceDE w:val="0"/>
              <w:autoSpaceDN w:val="0"/>
              <w:spacing w:line="360" w:lineRule="auto"/>
              <w:jc w:val="center"/>
              <w:rPr>
                <w:rFonts w:ascii="Times New Roman" w:hAnsi="Times New Roman"/>
                <w:color w:val="auto"/>
                <w:sz w:val="24"/>
                <w:szCs w:val="24"/>
                <w:highlight w:val="none"/>
              </w:rPr>
            </w:pPr>
          </w:p>
        </w:tc>
        <w:tc>
          <w:tcPr>
            <w:tcW w:w="1332" w:type="dxa"/>
            <w:vMerge w:val="restart"/>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其中</w:t>
            </w:r>
          </w:p>
        </w:tc>
        <w:tc>
          <w:tcPr>
            <w:tcW w:w="1794" w:type="dxa"/>
            <w:gridSpan w:val="3"/>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项目经理</w:t>
            </w:r>
          </w:p>
        </w:tc>
        <w:tc>
          <w:tcPr>
            <w:tcW w:w="2035" w:type="dxa"/>
            <w:gridSpan w:val="2"/>
            <w:vAlign w:val="center"/>
          </w:tcPr>
          <w:p>
            <w:pPr>
              <w:autoSpaceDE w:val="0"/>
              <w:autoSpaceDN w:val="0"/>
              <w:spacing w:line="360" w:lineRule="auto"/>
              <w:jc w:val="center"/>
              <w:rPr>
                <w:rFonts w:ascii="Times New Roman" w:hAnsi="Times New Roman"/>
                <w:b/>
                <w:bCs/>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营业执照号</w:t>
            </w:r>
          </w:p>
        </w:tc>
        <w:tc>
          <w:tcPr>
            <w:tcW w:w="2356" w:type="dxa"/>
            <w:gridSpan w:val="2"/>
            <w:vAlign w:val="center"/>
          </w:tcPr>
          <w:p>
            <w:pPr>
              <w:autoSpaceDE w:val="0"/>
              <w:autoSpaceDN w:val="0"/>
              <w:spacing w:line="360" w:lineRule="auto"/>
              <w:jc w:val="center"/>
              <w:rPr>
                <w:rFonts w:ascii="Times New Roman" w:hAnsi="Times New Roman"/>
                <w:color w:val="auto"/>
                <w:sz w:val="24"/>
                <w:szCs w:val="24"/>
                <w:highlight w:val="none"/>
              </w:rPr>
            </w:pPr>
          </w:p>
        </w:tc>
        <w:tc>
          <w:tcPr>
            <w:tcW w:w="1332" w:type="dxa"/>
            <w:vMerge w:val="continue"/>
            <w:vAlign w:val="center"/>
          </w:tcPr>
          <w:p>
            <w:pPr>
              <w:autoSpaceDE w:val="0"/>
              <w:autoSpaceDN w:val="0"/>
              <w:spacing w:line="360" w:lineRule="auto"/>
              <w:jc w:val="center"/>
              <w:rPr>
                <w:rFonts w:ascii="Times New Roman" w:hAnsi="Times New Roman"/>
                <w:color w:val="auto"/>
                <w:sz w:val="24"/>
                <w:szCs w:val="24"/>
                <w:highlight w:val="none"/>
              </w:rPr>
            </w:pPr>
          </w:p>
        </w:tc>
        <w:tc>
          <w:tcPr>
            <w:tcW w:w="1794" w:type="dxa"/>
            <w:gridSpan w:val="3"/>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高级职称人员</w:t>
            </w:r>
          </w:p>
        </w:tc>
        <w:tc>
          <w:tcPr>
            <w:tcW w:w="2035" w:type="dxa"/>
            <w:gridSpan w:val="2"/>
            <w:vAlign w:val="center"/>
          </w:tcPr>
          <w:p>
            <w:pPr>
              <w:autoSpaceDE w:val="0"/>
              <w:autoSpaceDN w:val="0"/>
              <w:spacing w:line="360" w:lineRule="auto"/>
              <w:jc w:val="center"/>
              <w:rPr>
                <w:rFonts w:ascii="Times New Roman" w:hAnsi="Times New Roman"/>
                <w:b/>
                <w:bCs/>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注册资金</w:t>
            </w:r>
          </w:p>
        </w:tc>
        <w:tc>
          <w:tcPr>
            <w:tcW w:w="2356" w:type="dxa"/>
            <w:gridSpan w:val="2"/>
            <w:vAlign w:val="center"/>
          </w:tcPr>
          <w:p>
            <w:pPr>
              <w:autoSpaceDE w:val="0"/>
              <w:autoSpaceDN w:val="0"/>
              <w:spacing w:line="360" w:lineRule="auto"/>
              <w:jc w:val="center"/>
              <w:rPr>
                <w:rFonts w:ascii="Times New Roman" w:hAnsi="Times New Roman"/>
                <w:color w:val="auto"/>
                <w:sz w:val="24"/>
                <w:szCs w:val="24"/>
                <w:highlight w:val="none"/>
              </w:rPr>
            </w:pPr>
          </w:p>
        </w:tc>
        <w:tc>
          <w:tcPr>
            <w:tcW w:w="1332" w:type="dxa"/>
            <w:vMerge w:val="continue"/>
            <w:vAlign w:val="center"/>
          </w:tcPr>
          <w:p>
            <w:pPr>
              <w:autoSpaceDE w:val="0"/>
              <w:autoSpaceDN w:val="0"/>
              <w:spacing w:line="360" w:lineRule="auto"/>
              <w:jc w:val="center"/>
              <w:rPr>
                <w:rFonts w:ascii="Times New Roman" w:hAnsi="Times New Roman"/>
                <w:color w:val="auto"/>
                <w:sz w:val="24"/>
                <w:szCs w:val="24"/>
                <w:highlight w:val="none"/>
              </w:rPr>
            </w:pPr>
          </w:p>
        </w:tc>
        <w:tc>
          <w:tcPr>
            <w:tcW w:w="1794" w:type="dxa"/>
            <w:gridSpan w:val="3"/>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中级职称人员</w:t>
            </w:r>
          </w:p>
        </w:tc>
        <w:tc>
          <w:tcPr>
            <w:tcW w:w="2035" w:type="dxa"/>
            <w:gridSpan w:val="2"/>
            <w:vAlign w:val="center"/>
          </w:tcPr>
          <w:p>
            <w:pPr>
              <w:autoSpaceDE w:val="0"/>
              <w:autoSpaceDN w:val="0"/>
              <w:spacing w:line="360" w:lineRule="auto"/>
              <w:jc w:val="center"/>
              <w:rPr>
                <w:rFonts w:ascii="Times New Roman" w:hAnsi="Times New Roman"/>
                <w:b/>
                <w:bCs/>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开户银行</w:t>
            </w:r>
          </w:p>
        </w:tc>
        <w:tc>
          <w:tcPr>
            <w:tcW w:w="2356" w:type="dxa"/>
            <w:gridSpan w:val="2"/>
            <w:vAlign w:val="center"/>
          </w:tcPr>
          <w:p>
            <w:pPr>
              <w:autoSpaceDE w:val="0"/>
              <w:autoSpaceDN w:val="0"/>
              <w:spacing w:line="360" w:lineRule="auto"/>
              <w:jc w:val="center"/>
              <w:rPr>
                <w:rFonts w:ascii="Times New Roman" w:hAnsi="Times New Roman"/>
                <w:color w:val="auto"/>
                <w:sz w:val="24"/>
                <w:szCs w:val="24"/>
                <w:highlight w:val="none"/>
              </w:rPr>
            </w:pPr>
          </w:p>
        </w:tc>
        <w:tc>
          <w:tcPr>
            <w:tcW w:w="1332" w:type="dxa"/>
            <w:vMerge w:val="continue"/>
            <w:vAlign w:val="center"/>
          </w:tcPr>
          <w:p>
            <w:pPr>
              <w:autoSpaceDE w:val="0"/>
              <w:autoSpaceDN w:val="0"/>
              <w:spacing w:line="360" w:lineRule="auto"/>
              <w:jc w:val="center"/>
              <w:rPr>
                <w:rFonts w:ascii="Times New Roman" w:hAnsi="Times New Roman"/>
                <w:color w:val="auto"/>
                <w:sz w:val="24"/>
                <w:szCs w:val="24"/>
                <w:highlight w:val="none"/>
              </w:rPr>
            </w:pPr>
          </w:p>
        </w:tc>
        <w:tc>
          <w:tcPr>
            <w:tcW w:w="1794" w:type="dxa"/>
            <w:gridSpan w:val="3"/>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初级职称人员</w:t>
            </w:r>
          </w:p>
        </w:tc>
        <w:tc>
          <w:tcPr>
            <w:tcW w:w="2035" w:type="dxa"/>
            <w:gridSpan w:val="2"/>
            <w:vAlign w:val="center"/>
          </w:tcPr>
          <w:p>
            <w:pPr>
              <w:autoSpaceDE w:val="0"/>
              <w:autoSpaceDN w:val="0"/>
              <w:spacing w:line="360" w:lineRule="auto"/>
              <w:jc w:val="center"/>
              <w:rPr>
                <w:rFonts w:ascii="Times New Roman" w:hAnsi="Times New Roman"/>
                <w:b/>
                <w:bCs/>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账号</w:t>
            </w:r>
          </w:p>
        </w:tc>
        <w:tc>
          <w:tcPr>
            <w:tcW w:w="2356" w:type="dxa"/>
            <w:gridSpan w:val="2"/>
            <w:vAlign w:val="center"/>
          </w:tcPr>
          <w:p>
            <w:pPr>
              <w:autoSpaceDE w:val="0"/>
              <w:autoSpaceDN w:val="0"/>
              <w:spacing w:line="360" w:lineRule="auto"/>
              <w:jc w:val="center"/>
              <w:rPr>
                <w:rFonts w:ascii="Times New Roman" w:hAnsi="Times New Roman"/>
                <w:color w:val="auto"/>
                <w:sz w:val="24"/>
                <w:szCs w:val="24"/>
                <w:highlight w:val="none"/>
              </w:rPr>
            </w:pPr>
          </w:p>
        </w:tc>
        <w:tc>
          <w:tcPr>
            <w:tcW w:w="1332" w:type="dxa"/>
            <w:vMerge w:val="continue"/>
            <w:vAlign w:val="center"/>
          </w:tcPr>
          <w:p>
            <w:pPr>
              <w:autoSpaceDE w:val="0"/>
              <w:autoSpaceDN w:val="0"/>
              <w:spacing w:line="360" w:lineRule="auto"/>
              <w:jc w:val="center"/>
              <w:rPr>
                <w:rFonts w:ascii="Times New Roman" w:hAnsi="Times New Roman"/>
                <w:color w:val="auto"/>
                <w:sz w:val="24"/>
                <w:szCs w:val="24"/>
                <w:highlight w:val="none"/>
              </w:rPr>
            </w:pPr>
          </w:p>
        </w:tc>
        <w:tc>
          <w:tcPr>
            <w:tcW w:w="1794" w:type="dxa"/>
            <w:gridSpan w:val="3"/>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技工</w:t>
            </w:r>
          </w:p>
        </w:tc>
        <w:tc>
          <w:tcPr>
            <w:tcW w:w="2035" w:type="dxa"/>
            <w:gridSpan w:val="2"/>
            <w:vAlign w:val="center"/>
          </w:tcPr>
          <w:p>
            <w:pPr>
              <w:autoSpaceDE w:val="0"/>
              <w:autoSpaceDN w:val="0"/>
              <w:spacing w:line="360" w:lineRule="auto"/>
              <w:jc w:val="center"/>
              <w:rPr>
                <w:rFonts w:ascii="Times New Roman" w:hAnsi="Times New Roman"/>
                <w:b/>
                <w:bCs/>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77" w:hRule="atLeast"/>
          <w:jc w:val="center"/>
        </w:trPr>
        <w:tc>
          <w:tcPr>
            <w:tcW w:w="1997" w:type="dxa"/>
            <w:vAlign w:val="center"/>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经营范围</w:t>
            </w:r>
          </w:p>
        </w:tc>
        <w:tc>
          <w:tcPr>
            <w:tcW w:w="7517" w:type="dxa"/>
            <w:gridSpan w:val="8"/>
            <w:vAlign w:val="center"/>
          </w:tcPr>
          <w:p>
            <w:pPr>
              <w:autoSpaceDE w:val="0"/>
              <w:autoSpaceDN w:val="0"/>
              <w:spacing w:line="360" w:lineRule="auto"/>
              <w:rPr>
                <w:rFonts w:ascii="Times New Roman" w:hAnsi="Times New Roman"/>
                <w:b/>
                <w:bCs/>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72" w:hRule="atLeast"/>
          <w:jc w:val="center"/>
        </w:trPr>
        <w:tc>
          <w:tcPr>
            <w:tcW w:w="1997" w:type="dxa"/>
          </w:tcPr>
          <w:p>
            <w:pPr>
              <w:autoSpaceDE w:val="0"/>
              <w:autoSpaceDN w:val="0"/>
              <w:spacing w:line="360" w:lineRule="auto"/>
              <w:jc w:val="center"/>
              <w:rPr>
                <w:rFonts w:ascii="Times New Roman" w:hAnsi="Times New Roman"/>
                <w:color w:val="auto"/>
                <w:sz w:val="24"/>
                <w:szCs w:val="24"/>
                <w:highlight w:val="none"/>
              </w:rPr>
            </w:pPr>
            <w:r>
              <w:rPr>
                <w:rFonts w:ascii="Times New Roman" w:hAnsi="Times New Roman"/>
                <w:color w:val="auto"/>
                <w:sz w:val="24"/>
                <w:szCs w:val="24"/>
                <w:highlight w:val="none"/>
              </w:rPr>
              <w:t>备注</w:t>
            </w:r>
          </w:p>
        </w:tc>
        <w:tc>
          <w:tcPr>
            <w:tcW w:w="7517" w:type="dxa"/>
            <w:gridSpan w:val="8"/>
          </w:tcPr>
          <w:p>
            <w:pPr>
              <w:autoSpaceDE w:val="0"/>
              <w:autoSpaceDN w:val="0"/>
              <w:spacing w:line="360" w:lineRule="auto"/>
              <w:rPr>
                <w:rFonts w:ascii="Times New Roman" w:hAnsi="Times New Roman"/>
                <w:color w:val="auto"/>
                <w:sz w:val="24"/>
                <w:szCs w:val="24"/>
                <w:highlight w:val="none"/>
              </w:rPr>
            </w:pPr>
          </w:p>
        </w:tc>
      </w:tr>
    </w:tbl>
    <w:p>
      <w:pPr>
        <w:spacing w:line="360" w:lineRule="auto"/>
        <w:rPr>
          <w:rFonts w:ascii="Times New Roman" w:hAnsi="Times New Roman"/>
          <w:color w:val="auto"/>
          <w:sz w:val="24"/>
          <w:szCs w:val="24"/>
          <w:highlight w:val="none"/>
        </w:rPr>
      </w:pPr>
    </w:p>
    <w:p>
      <w:pPr>
        <w:spacing w:line="360" w:lineRule="auto"/>
        <w:rPr>
          <w:rFonts w:ascii="Times New Roman" w:hAnsi="Times New Roman"/>
          <w:b/>
          <w:color w:val="auto"/>
          <w:sz w:val="24"/>
          <w:szCs w:val="24"/>
          <w:highlight w:val="none"/>
        </w:rPr>
      </w:pPr>
    </w:p>
    <w:p>
      <w:pPr>
        <w:spacing w:line="360" w:lineRule="auto"/>
        <w:jc w:val="center"/>
        <w:rPr>
          <w:rFonts w:ascii="Times New Roman" w:hAnsi="Times New Roman"/>
          <w:b/>
          <w:color w:val="auto"/>
          <w:sz w:val="28"/>
          <w:szCs w:val="28"/>
          <w:highlight w:val="none"/>
        </w:rPr>
      </w:pPr>
    </w:p>
    <w:p>
      <w:pPr>
        <w:spacing w:line="360" w:lineRule="auto"/>
        <w:jc w:val="center"/>
        <w:outlineLvl w:val="1"/>
        <w:rPr>
          <w:rFonts w:ascii="Times New Roman" w:hAnsi="Times New Roman"/>
          <w:b/>
          <w:color w:val="auto"/>
          <w:sz w:val="28"/>
          <w:szCs w:val="28"/>
          <w:highlight w:val="none"/>
        </w:rPr>
      </w:pPr>
      <w:r>
        <w:rPr>
          <w:rFonts w:ascii="Times New Roman" w:hAnsi="Times New Roman"/>
          <w:b/>
          <w:color w:val="auto"/>
          <w:sz w:val="28"/>
          <w:szCs w:val="28"/>
          <w:highlight w:val="none"/>
        </w:rPr>
        <w:br w:type="page"/>
      </w:r>
      <w:bookmarkStart w:id="152" w:name="_Toc31505"/>
      <w:r>
        <w:rPr>
          <w:rFonts w:hint="eastAsia" w:ascii="Times New Roman" w:hAnsi="Times New Roman"/>
          <w:b/>
          <w:color w:val="auto"/>
          <w:sz w:val="28"/>
          <w:szCs w:val="28"/>
          <w:highlight w:val="none"/>
          <w:lang w:val="en-US" w:eastAsia="zh-CN"/>
        </w:rPr>
        <w:t>八</w:t>
      </w:r>
      <w:r>
        <w:rPr>
          <w:rFonts w:ascii="Times New Roman" w:hAnsi="Times New Roman"/>
          <w:b/>
          <w:color w:val="auto"/>
          <w:sz w:val="28"/>
          <w:szCs w:val="28"/>
          <w:highlight w:val="none"/>
        </w:rPr>
        <w:t>、供应商类似业绩一览表</w:t>
      </w:r>
      <w:bookmarkEnd w:id="152"/>
    </w:p>
    <w:tbl>
      <w:tblPr>
        <w:tblStyle w:val="46"/>
        <w:tblW w:w="98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70"/>
        <w:gridCol w:w="1935"/>
        <w:gridCol w:w="2374"/>
        <w:gridCol w:w="3636"/>
        <w:gridCol w:w="10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43" w:hRule="atLeast"/>
          <w:jc w:val="center"/>
        </w:trPr>
        <w:tc>
          <w:tcPr>
            <w:tcW w:w="870" w:type="dxa"/>
            <w:tcBorders>
              <w:top w:val="single" w:color="auto" w:sz="4" w:space="0"/>
            </w:tcBorders>
            <w:vAlign w:val="center"/>
          </w:tcPr>
          <w:p>
            <w:pPr>
              <w:spacing w:line="400" w:lineRule="exact"/>
              <w:ind w:firstLine="120" w:firstLineChars="50"/>
              <w:jc w:val="center"/>
              <w:rPr>
                <w:rFonts w:ascii="Times New Roman" w:hAnsi="Times New Roman"/>
                <w:color w:val="auto"/>
                <w:sz w:val="24"/>
                <w:highlight w:val="none"/>
              </w:rPr>
            </w:pPr>
            <w:r>
              <w:rPr>
                <w:rFonts w:ascii="Times New Roman" w:hAnsi="Times New Roman"/>
                <w:color w:val="auto"/>
                <w:sz w:val="24"/>
                <w:highlight w:val="none"/>
              </w:rPr>
              <w:t>年份</w:t>
            </w:r>
          </w:p>
        </w:tc>
        <w:tc>
          <w:tcPr>
            <w:tcW w:w="1935" w:type="dxa"/>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用户名称</w:t>
            </w:r>
          </w:p>
        </w:tc>
        <w:tc>
          <w:tcPr>
            <w:tcW w:w="2374" w:type="dxa"/>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项目名称</w:t>
            </w:r>
          </w:p>
        </w:tc>
        <w:tc>
          <w:tcPr>
            <w:tcW w:w="3636" w:type="dxa"/>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技术规格</w:t>
            </w:r>
          </w:p>
        </w:tc>
        <w:tc>
          <w:tcPr>
            <w:tcW w:w="1063" w:type="dxa"/>
            <w:tcBorders>
              <w:left w:val="single" w:color="auto" w:sz="4" w:space="0"/>
            </w:tcBorders>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1" w:hRule="atLeast"/>
          <w:jc w:val="center"/>
        </w:trPr>
        <w:tc>
          <w:tcPr>
            <w:tcW w:w="870" w:type="dxa"/>
            <w:vAlign w:val="center"/>
          </w:tcPr>
          <w:p>
            <w:pPr>
              <w:spacing w:line="400" w:lineRule="exact"/>
              <w:jc w:val="center"/>
              <w:rPr>
                <w:rFonts w:ascii="Times New Roman" w:hAnsi="Times New Roman"/>
                <w:color w:val="auto"/>
                <w:highlight w:val="none"/>
              </w:rPr>
            </w:pPr>
          </w:p>
        </w:tc>
        <w:tc>
          <w:tcPr>
            <w:tcW w:w="1935" w:type="dxa"/>
            <w:vAlign w:val="center"/>
          </w:tcPr>
          <w:p>
            <w:pPr>
              <w:spacing w:line="400" w:lineRule="exact"/>
              <w:jc w:val="center"/>
              <w:rPr>
                <w:rFonts w:ascii="Times New Roman" w:hAnsi="Times New Roman"/>
                <w:color w:val="auto"/>
                <w:highlight w:val="none"/>
              </w:rPr>
            </w:pPr>
          </w:p>
        </w:tc>
        <w:tc>
          <w:tcPr>
            <w:tcW w:w="2374" w:type="dxa"/>
            <w:vAlign w:val="center"/>
          </w:tcPr>
          <w:p>
            <w:pPr>
              <w:spacing w:line="400" w:lineRule="exact"/>
              <w:jc w:val="center"/>
              <w:rPr>
                <w:rFonts w:ascii="Times New Roman" w:hAnsi="Times New Roman"/>
                <w:color w:val="auto"/>
                <w:highlight w:val="none"/>
              </w:rPr>
            </w:pPr>
          </w:p>
        </w:tc>
        <w:tc>
          <w:tcPr>
            <w:tcW w:w="3636" w:type="dxa"/>
            <w:vAlign w:val="center"/>
          </w:tcPr>
          <w:p>
            <w:pPr>
              <w:spacing w:line="400" w:lineRule="exact"/>
              <w:jc w:val="center"/>
              <w:rPr>
                <w:rFonts w:ascii="Times New Roman" w:hAnsi="Times New Roman"/>
                <w:color w:val="auto"/>
                <w:sz w:val="24"/>
                <w:szCs w:val="24"/>
                <w:highlight w:val="none"/>
              </w:rPr>
            </w:pPr>
          </w:p>
        </w:tc>
        <w:tc>
          <w:tcPr>
            <w:tcW w:w="1063" w:type="dxa"/>
            <w:tcBorders>
              <w:left w:val="single" w:color="auto" w:sz="4" w:space="0"/>
            </w:tcBorders>
            <w:vAlign w:val="center"/>
          </w:tcPr>
          <w:p>
            <w:pPr>
              <w:spacing w:line="40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47" w:hRule="atLeast"/>
          <w:jc w:val="center"/>
        </w:trPr>
        <w:tc>
          <w:tcPr>
            <w:tcW w:w="870" w:type="dxa"/>
            <w:vAlign w:val="center"/>
          </w:tcPr>
          <w:p>
            <w:pPr>
              <w:spacing w:line="400" w:lineRule="exact"/>
              <w:jc w:val="center"/>
              <w:rPr>
                <w:rFonts w:ascii="Times New Roman" w:hAnsi="Times New Roman"/>
                <w:color w:val="auto"/>
                <w:highlight w:val="none"/>
              </w:rPr>
            </w:pPr>
          </w:p>
        </w:tc>
        <w:tc>
          <w:tcPr>
            <w:tcW w:w="1935" w:type="dxa"/>
            <w:vAlign w:val="center"/>
          </w:tcPr>
          <w:p>
            <w:pPr>
              <w:spacing w:line="400" w:lineRule="exact"/>
              <w:jc w:val="center"/>
              <w:rPr>
                <w:rFonts w:ascii="Times New Roman" w:hAnsi="Times New Roman"/>
                <w:color w:val="auto"/>
                <w:highlight w:val="none"/>
              </w:rPr>
            </w:pPr>
          </w:p>
        </w:tc>
        <w:tc>
          <w:tcPr>
            <w:tcW w:w="2374" w:type="dxa"/>
            <w:vAlign w:val="center"/>
          </w:tcPr>
          <w:p>
            <w:pPr>
              <w:spacing w:line="400" w:lineRule="exact"/>
              <w:jc w:val="center"/>
              <w:rPr>
                <w:rFonts w:ascii="Times New Roman" w:hAnsi="Times New Roman"/>
                <w:color w:val="auto"/>
                <w:highlight w:val="none"/>
              </w:rPr>
            </w:pPr>
          </w:p>
        </w:tc>
        <w:tc>
          <w:tcPr>
            <w:tcW w:w="3636" w:type="dxa"/>
            <w:vAlign w:val="center"/>
          </w:tcPr>
          <w:p>
            <w:pPr>
              <w:spacing w:line="400" w:lineRule="exact"/>
              <w:jc w:val="center"/>
              <w:rPr>
                <w:rFonts w:ascii="Times New Roman" w:hAnsi="Times New Roman"/>
                <w:color w:val="auto"/>
                <w:highlight w:val="none"/>
              </w:rPr>
            </w:pPr>
          </w:p>
        </w:tc>
        <w:tc>
          <w:tcPr>
            <w:tcW w:w="1063" w:type="dxa"/>
            <w:tcBorders>
              <w:left w:val="single" w:color="auto" w:sz="4" w:space="0"/>
            </w:tcBorders>
            <w:vAlign w:val="center"/>
          </w:tcPr>
          <w:p>
            <w:pPr>
              <w:spacing w:line="40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47" w:hRule="atLeast"/>
          <w:jc w:val="center"/>
        </w:trPr>
        <w:tc>
          <w:tcPr>
            <w:tcW w:w="870" w:type="dxa"/>
            <w:vAlign w:val="center"/>
          </w:tcPr>
          <w:p>
            <w:pPr>
              <w:spacing w:line="400" w:lineRule="exact"/>
              <w:jc w:val="center"/>
              <w:rPr>
                <w:rFonts w:ascii="Times New Roman" w:hAnsi="Times New Roman"/>
                <w:color w:val="auto"/>
                <w:highlight w:val="none"/>
              </w:rPr>
            </w:pPr>
          </w:p>
        </w:tc>
        <w:tc>
          <w:tcPr>
            <w:tcW w:w="1935" w:type="dxa"/>
            <w:vAlign w:val="center"/>
          </w:tcPr>
          <w:p>
            <w:pPr>
              <w:spacing w:line="400" w:lineRule="exact"/>
              <w:jc w:val="center"/>
              <w:rPr>
                <w:rFonts w:ascii="Times New Roman" w:hAnsi="Times New Roman"/>
                <w:color w:val="auto"/>
                <w:highlight w:val="none"/>
              </w:rPr>
            </w:pPr>
          </w:p>
        </w:tc>
        <w:tc>
          <w:tcPr>
            <w:tcW w:w="2374" w:type="dxa"/>
            <w:vAlign w:val="center"/>
          </w:tcPr>
          <w:p>
            <w:pPr>
              <w:spacing w:line="400" w:lineRule="exact"/>
              <w:jc w:val="center"/>
              <w:rPr>
                <w:rFonts w:ascii="Times New Roman" w:hAnsi="Times New Roman"/>
                <w:color w:val="auto"/>
                <w:highlight w:val="none"/>
              </w:rPr>
            </w:pPr>
          </w:p>
        </w:tc>
        <w:tc>
          <w:tcPr>
            <w:tcW w:w="3636" w:type="dxa"/>
            <w:vAlign w:val="center"/>
          </w:tcPr>
          <w:p>
            <w:pPr>
              <w:spacing w:line="400" w:lineRule="exact"/>
              <w:jc w:val="center"/>
              <w:rPr>
                <w:rFonts w:ascii="Times New Roman" w:hAnsi="Times New Roman"/>
                <w:color w:val="auto"/>
                <w:highlight w:val="none"/>
              </w:rPr>
            </w:pPr>
          </w:p>
        </w:tc>
        <w:tc>
          <w:tcPr>
            <w:tcW w:w="1063" w:type="dxa"/>
            <w:tcBorders>
              <w:left w:val="single" w:color="auto" w:sz="4" w:space="0"/>
            </w:tcBorders>
            <w:vAlign w:val="center"/>
          </w:tcPr>
          <w:p>
            <w:pPr>
              <w:spacing w:line="40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47" w:hRule="atLeast"/>
          <w:jc w:val="center"/>
        </w:trPr>
        <w:tc>
          <w:tcPr>
            <w:tcW w:w="870" w:type="dxa"/>
            <w:vAlign w:val="center"/>
          </w:tcPr>
          <w:p>
            <w:pPr>
              <w:spacing w:line="400" w:lineRule="exact"/>
              <w:jc w:val="center"/>
              <w:rPr>
                <w:rFonts w:ascii="Times New Roman" w:hAnsi="Times New Roman"/>
                <w:color w:val="auto"/>
                <w:highlight w:val="none"/>
              </w:rPr>
            </w:pPr>
          </w:p>
        </w:tc>
        <w:tc>
          <w:tcPr>
            <w:tcW w:w="1935" w:type="dxa"/>
            <w:tcBorders>
              <w:right w:val="single" w:color="auto" w:sz="4" w:space="0"/>
            </w:tcBorders>
            <w:vAlign w:val="center"/>
          </w:tcPr>
          <w:p>
            <w:pPr>
              <w:spacing w:line="400" w:lineRule="exact"/>
              <w:jc w:val="center"/>
              <w:rPr>
                <w:rFonts w:ascii="Times New Roman" w:hAnsi="Times New Roman"/>
                <w:color w:val="auto"/>
                <w:highlight w:val="none"/>
              </w:rPr>
            </w:pPr>
          </w:p>
        </w:tc>
        <w:tc>
          <w:tcPr>
            <w:tcW w:w="2374" w:type="dxa"/>
            <w:tcBorders>
              <w:left w:val="single" w:color="auto" w:sz="4" w:space="0"/>
            </w:tcBorders>
            <w:vAlign w:val="center"/>
          </w:tcPr>
          <w:p>
            <w:pPr>
              <w:spacing w:line="400" w:lineRule="exact"/>
              <w:jc w:val="center"/>
              <w:rPr>
                <w:rFonts w:ascii="Times New Roman" w:hAnsi="Times New Roman"/>
                <w:color w:val="auto"/>
                <w:highlight w:val="none"/>
              </w:rPr>
            </w:pPr>
          </w:p>
        </w:tc>
        <w:tc>
          <w:tcPr>
            <w:tcW w:w="3636" w:type="dxa"/>
            <w:vAlign w:val="center"/>
          </w:tcPr>
          <w:p>
            <w:pPr>
              <w:spacing w:line="400" w:lineRule="exact"/>
              <w:jc w:val="center"/>
              <w:rPr>
                <w:rFonts w:ascii="Times New Roman" w:hAnsi="Times New Roman"/>
                <w:color w:val="auto"/>
                <w:highlight w:val="none"/>
              </w:rPr>
            </w:pPr>
          </w:p>
        </w:tc>
        <w:tc>
          <w:tcPr>
            <w:tcW w:w="1063" w:type="dxa"/>
            <w:tcBorders>
              <w:left w:val="single" w:color="auto" w:sz="4" w:space="0"/>
            </w:tcBorders>
            <w:vAlign w:val="center"/>
          </w:tcPr>
          <w:p>
            <w:pPr>
              <w:spacing w:line="40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47" w:hRule="atLeast"/>
          <w:jc w:val="center"/>
        </w:trPr>
        <w:tc>
          <w:tcPr>
            <w:tcW w:w="870" w:type="dxa"/>
            <w:vAlign w:val="center"/>
          </w:tcPr>
          <w:p>
            <w:pPr>
              <w:spacing w:line="400" w:lineRule="exact"/>
              <w:jc w:val="center"/>
              <w:rPr>
                <w:rFonts w:ascii="Times New Roman" w:hAnsi="Times New Roman"/>
                <w:color w:val="auto"/>
                <w:highlight w:val="none"/>
              </w:rPr>
            </w:pPr>
          </w:p>
        </w:tc>
        <w:tc>
          <w:tcPr>
            <w:tcW w:w="1935" w:type="dxa"/>
            <w:vAlign w:val="center"/>
          </w:tcPr>
          <w:p>
            <w:pPr>
              <w:spacing w:line="400" w:lineRule="exact"/>
              <w:jc w:val="center"/>
              <w:rPr>
                <w:rFonts w:ascii="Times New Roman" w:hAnsi="Times New Roman"/>
                <w:color w:val="auto"/>
                <w:highlight w:val="none"/>
              </w:rPr>
            </w:pPr>
          </w:p>
        </w:tc>
        <w:tc>
          <w:tcPr>
            <w:tcW w:w="2374" w:type="dxa"/>
            <w:vAlign w:val="center"/>
          </w:tcPr>
          <w:p>
            <w:pPr>
              <w:spacing w:line="400" w:lineRule="exact"/>
              <w:jc w:val="center"/>
              <w:rPr>
                <w:rFonts w:ascii="Times New Roman" w:hAnsi="Times New Roman"/>
                <w:color w:val="auto"/>
                <w:highlight w:val="none"/>
              </w:rPr>
            </w:pPr>
          </w:p>
        </w:tc>
        <w:tc>
          <w:tcPr>
            <w:tcW w:w="3636" w:type="dxa"/>
            <w:vAlign w:val="center"/>
          </w:tcPr>
          <w:p>
            <w:pPr>
              <w:spacing w:line="400" w:lineRule="exact"/>
              <w:jc w:val="center"/>
              <w:rPr>
                <w:rFonts w:ascii="Times New Roman" w:hAnsi="Times New Roman"/>
                <w:color w:val="auto"/>
                <w:highlight w:val="none"/>
              </w:rPr>
            </w:pPr>
          </w:p>
        </w:tc>
        <w:tc>
          <w:tcPr>
            <w:tcW w:w="1063" w:type="dxa"/>
            <w:tcBorders>
              <w:left w:val="single" w:color="auto" w:sz="4" w:space="0"/>
            </w:tcBorders>
            <w:vAlign w:val="center"/>
          </w:tcPr>
          <w:p>
            <w:pPr>
              <w:spacing w:line="40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47" w:hRule="atLeast"/>
          <w:jc w:val="center"/>
        </w:trPr>
        <w:tc>
          <w:tcPr>
            <w:tcW w:w="870" w:type="dxa"/>
            <w:vAlign w:val="center"/>
          </w:tcPr>
          <w:p>
            <w:pPr>
              <w:spacing w:line="400" w:lineRule="exact"/>
              <w:jc w:val="center"/>
              <w:rPr>
                <w:rFonts w:ascii="Times New Roman" w:hAnsi="Times New Roman"/>
                <w:color w:val="auto"/>
                <w:highlight w:val="none"/>
              </w:rPr>
            </w:pPr>
          </w:p>
        </w:tc>
        <w:tc>
          <w:tcPr>
            <w:tcW w:w="1935" w:type="dxa"/>
            <w:vAlign w:val="center"/>
          </w:tcPr>
          <w:p>
            <w:pPr>
              <w:spacing w:line="400" w:lineRule="exact"/>
              <w:jc w:val="center"/>
              <w:rPr>
                <w:rFonts w:ascii="Times New Roman" w:hAnsi="Times New Roman"/>
                <w:color w:val="auto"/>
                <w:highlight w:val="none"/>
              </w:rPr>
            </w:pPr>
          </w:p>
        </w:tc>
        <w:tc>
          <w:tcPr>
            <w:tcW w:w="2374" w:type="dxa"/>
            <w:vAlign w:val="center"/>
          </w:tcPr>
          <w:p>
            <w:pPr>
              <w:spacing w:line="400" w:lineRule="exact"/>
              <w:jc w:val="center"/>
              <w:rPr>
                <w:rFonts w:ascii="Times New Roman" w:hAnsi="Times New Roman"/>
                <w:color w:val="auto"/>
                <w:highlight w:val="none"/>
              </w:rPr>
            </w:pPr>
          </w:p>
        </w:tc>
        <w:tc>
          <w:tcPr>
            <w:tcW w:w="3636" w:type="dxa"/>
            <w:vAlign w:val="center"/>
          </w:tcPr>
          <w:p>
            <w:pPr>
              <w:spacing w:line="400" w:lineRule="exact"/>
              <w:jc w:val="center"/>
              <w:rPr>
                <w:rFonts w:ascii="Times New Roman" w:hAnsi="Times New Roman"/>
                <w:color w:val="auto"/>
                <w:highlight w:val="none"/>
              </w:rPr>
            </w:pPr>
          </w:p>
        </w:tc>
        <w:tc>
          <w:tcPr>
            <w:tcW w:w="1063" w:type="dxa"/>
            <w:tcBorders>
              <w:left w:val="single" w:color="auto" w:sz="4" w:space="0"/>
            </w:tcBorders>
            <w:vAlign w:val="center"/>
          </w:tcPr>
          <w:p>
            <w:pPr>
              <w:spacing w:line="40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67" w:hRule="atLeast"/>
          <w:jc w:val="center"/>
        </w:trPr>
        <w:tc>
          <w:tcPr>
            <w:tcW w:w="870" w:type="dxa"/>
            <w:tcBorders>
              <w:bottom w:val="single" w:color="auto" w:sz="4" w:space="0"/>
            </w:tcBorders>
            <w:vAlign w:val="center"/>
          </w:tcPr>
          <w:p>
            <w:pPr>
              <w:spacing w:line="400" w:lineRule="exact"/>
              <w:jc w:val="center"/>
              <w:rPr>
                <w:rFonts w:ascii="Times New Roman" w:hAnsi="Times New Roman"/>
                <w:color w:val="auto"/>
                <w:highlight w:val="none"/>
              </w:rPr>
            </w:pPr>
          </w:p>
        </w:tc>
        <w:tc>
          <w:tcPr>
            <w:tcW w:w="1935" w:type="dxa"/>
            <w:tcBorders>
              <w:bottom w:val="single" w:color="auto" w:sz="4" w:space="0"/>
            </w:tcBorders>
            <w:vAlign w:val="center"/>
          </w:tcPr>
          <w:p>
            <w:pPr>
              <w:spacing w:line="400" w:lineRule="exact"/>
              <w:jc w:val="center"/>
              <w:rPr>
                <w:rFonts w:ascii="Times New Roman" w:hAnsi="Times New Roman"/>
                <w:color w:val="auto"/>
                <w:highlight w:val="none"/>
              </w:rPr>
            </w:pPr>
          </w:p>
        </w:tc>
        <w:tc>
          <w:tcPr>
            <w:tcW w:w="2374" w:type="dxa"/>
            <w:tcBorders>
              <w:bottom w:val="single" w:color="auto" w:sz="4" w:space="0"/>
            </w:tcBorders>
            <w:vAlign w:val="center"/>
          </w:tcPr>
          <w:p>
            <w:pPr>
              <w:spacing w:line="400" w:lineRule="exact"/>
              <w:jc w:val="center"/>
              <w:rPr>
                <w:rFonts w:ascii="Times New Roman" w:hAnsi="Times New Roman"/>
                <w:color w:val="auto"/>
                <w:highlight w:val="none"/>
              </w:rPr>
            </w:pPr>
          </w:p>
        </w:tc>
        <w:tc>
          <w:tcPr>
            <w:tcW w:w="3636" w:type="dxa"/>
            <w:tcBorders>
              <w:bottom w:val="single" w:color="auto" w:sz="4" w:space="0"/>
            </w:tcBorders>
            <w:vAlign w:val="center"/>
          </w:tcPr>
          <w:p>
            <w:pPr>
              <w:spacing w:line="400" w:lineRule="exact"/>
              <w:jc w:val="center"/>
              <w:rPr>
                <w:rFonts w:ascii="Times New Roman" w:hAnsi="Times New Roman"/>
                <w:color w:val="auto"/>
                <w:highlight w:val="none"/>
              </w:rPr>
            </w:pPr>
          </w:p>
        </w:tc>
        <w:tc>
          <w:tcPr>
            <w:tcW w:w="1063" w:type="dxa"/>
            <w:tcBorders>
              <w:left w:val="single" w:color="auto" w:sz="4" w:space="0"/>
              <w:bottom w:val="single" w:color="auto" w:sz="4" w:space="0"/>
            </w:tcBorders>
            <w:vAlign w:val="center"/>
          </w:tcPr>
          <w:p>
            <w:pPr>
              <w:spacing w:line="40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56" w:hRule="atLeast"/>
          <w:jc w:val="center"/>
        </w:trPr>
        <w:tc>
          <w:tcPr>
            <w:tcW w:w="870" w:type="dxa"/>
            <w:tcBorders>
              <w:top w:val="single" w:color="auto" w:sz="4" w:space="0"/>
              <w:bottom w:val="single" w:color="auto" w:sz="4" w:space="0"/>
            </w:tcBorders>
            <w:vAlign w:val="center"/>
          </w:tcPr>
          <w:p>
            <w:pPr>
              <w:spacing w:line="400" w:lineRule="exact"/>
              <w:jc w:val="center"/>
              <w:rPr>
                <w:rFonts w:ascii="Times New Roman" w:hAnsi="Times New Roman"/>
                <w:color w:val="auto"/>
                <w:highlight w:val="none"/>
              </w:rPr>
            </w:pPr>
          </w:p>
        </w:tc>
        <w:tc>
          <w:tcPr>
            <w:tcW w:w="1935" w:type="dxa"/>
            <w:tcBorders>
              <w:top w:val="single" w:color="auto" w:sz="4" w:space="0"/>
              <w:bottom w:val="single" w:color="auto" w:sz="4" w:space="0"/>
            </w:tcBorders>
            <w:vAlign w:val="center"/>
          </w:tcPr>
          <w:p>
            <w:pPr>
              <w:spacing w:line="400" w:lineRule="exact"/>
              <w:jc w:val="center"/>
              <w:rPr>
                <w:rFonts w:ascii="Times New Roman" w:hAnsi="Times New Roman"/>
                <w:color w:val="auto"/>
                <w:highlight w:val="none"/>
              </w:rPr>
            </w:pPr>
          </w:p>
        </w:tc>
        <w:tc>
          <w:tcPr>
            <w:tcW w:w="2374" w:type="dxa"/>
            <w:tcBorders>
              <w:top w:val="single" w:color="auto" w:sz="4" w:space="0"/>
              <w:bottom w:val="single" w:color="auto" w:sz="4" w:space="0"/>
            </w:tcBorders>
            <w:vAlign w:val="center"/>
          </w:tcPr>
          <w:p>
            <w:pPr>
              <w:spacing w:line="400" w:lineRule="exact"/>
              <w:jc w:val="center"/>
              <w:rPr>
                <w:rFonts w:ascii="Times New Roman" w:hAnsi="Times New Roman"/>
                <w:color w:val="auto"/>
                <w:highlight w:val="none"/>
              </w:rPr>
            </w:pPr>
          </w:p>
        </w:tc>
        <w:tc>
          <w:tcPr>
            <w:tcW w:w="3636" w:type="dxa"/>
            <w:tcBorders>
              <w:top w:val="single" w:color="auto" w:sz="4" w:space="0"/>
              <w:bottom w:val="single" w:color="auto" w:sz="4" w:space="0"/>
            </w:tcBorders>
            <w:vAlign w:val="center"/>
          </w:tcPr>
          <w:p>
            <w:pPr>
              <w:spacing w:line="400" w:lineRule="exact"/>
              <w:jc w:val="center"/>
              <w:rPr>
                <w:rFonts w:ascii="Times New Roman" w:hAnsi="Times New Roman"/>
                <w:color w:val="auto"/>
                <w:highlight w:val="none"/>
              </w:rPr>
            </w:pPr>
          </w:p>
        </w:tc>
        <w:tc>
          <w:tcPr>
            <w:tcW w:w="1063"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5" w:hRule="atLeast"/>
          <w:jc w:val="center"/>
        </w:trPr>
        <w:tc>
          <w:tcPr>
            <w:tcW w:w="870" w:type="dxa"/>
            <w:tcBorders>
              <w:top w:val="single" w:color="auto" w:sz="4" w:space="0"/>
              <w:bottom w:val="single" w:color="auto" w:sz="4" w:space="0"/>
            </w:tcBorders>
            <w:vAlign w:val="center"/>
          </w:tcPr>
          <w:p>
            <w:pPr>
              <w:spacing w:line="400" w:lineRule="exact"/>
              <w:jc w:val="center"/>
              <w:rPr>
                <w:rFonts w:ascii="Times New Roman" w:hAnsi="Times New Roman"/>
                <w:color w:val="auto"/>
                <w:highlight w:val="none"/>
              </w:rPr>
            </w:pPr>
          </w:p>
        </w:tc>
        <w:tc>
          <w:tcPr>
            <w:tcW w:w="1935" w:type="dxa"/>
            <w:tcBorders>
              <w:top w:val="single" w:color="auto" w:sz="4" w:space="0"/>
              <w:bottom w:val="single" w:color="auto" w:sz="4" w:space="0"/>
            </w:tcBorders>
            <w:vAlign w:val="center"/>
          </w:tcPr>
          <w:p>
            <w:pPr>
              <w:spacing w:line="400" w:lineRule="exact"/>
              <w:jc w:val="center"/>
              <w:rPr>
                <w:rFonts w:ascii="Times New Roman" w:hAnsi="Times New Roman"/>
                <w:color w:val="auto"/>
                <w:highlight w:val="none"/>
              </w:rPr>
            </w:pPr>
          </w:p>
        </w:tc>
        <w:tc>
          <w:tcPr>
            <w:tcW w:w="2374" w:type="dxa"/>
            <w:tcBorders>
              <w:top w:val="single" w:color="auto" w:sz="4" w:space="0"/>
              <w:bottom w:val="single" w:color="auto" w:sz="4" w:space="0"/>
            </w:tcBorders>
            <w:vAlign w:val="center"/>
          </w:tcPr>
          <w:p>
            <w:pPr>
              <w:spacing w:line="400" w:lineRule="exact"/>
              <w:jc w:val="center"/>
              <w:rPr>
                <w:rFonts w:ascii="Times New Roman" w:hAnsi="Times New Roman"/>
                <w:color w:val="auto"/>
                <w:highlight w:val="none"/>
              </w:rPr>
            </w:pPr>
          </w:p>
        </w:tc>
        <w:tc>
          <w:tcPr>
            <w:tcW w:w="3636" w:type="dxa"/>
            <w:tcBorders>
              <w:top w:val="single" w:color="auto" w:sz="4" w:space="0"/>
              <w:bottom w:val="single" w:color="auto" w:sz="4" w:space="0"/>
            </w:tcBorders>
            <w:vAlign w:val="center"/>
          </w:tcPr>
          <w:p>
            <w:pPr>
              <w:spacing w:line="400" w:lineRule="exact"/>
              <w:jc w:val="center"/>
              <w:rPr>
                <w:rFonts w:ascii="Times New Roman" w:hAnsi="Times New Roman"/>
                <w:color w:val="auto"/>
                <w:highlight w:val="none"/>
              </w:rPr>
            </w:pPr>
          </w:p>
        </w:tc>
        <w:tc>
          <w:tcPr>
            <w:tcW w:w="1063"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color w:val="auto"/>
                <w:highlight w:val="none"/>
              </w:rPr>
            </w:pPr>
          </w:p>
        </w:tc>
      </w:tr>
    </w:tbl>
    <w:p>
      <w:pPr>
        <w:rPr>
          <w:rFonts w:ascii="Times New Roman" w:hAnsi="Times New Roman"/>
          <w:color w:val="auto"/>
          <w:sz w:val="24"/>
          <w:highlight w:val="none"/>
        </w:rPr>
      </w:pPr>
      <w:r>
        <w:rPr>
          <w:rFonts w:ascii="Times New Roman" w:hAnsi="Times New Roman"/>
          <w:color w:val="auto"/>
          <w:sz w:val="24"/>
          <w:highlight w:val="none"/>
        </w:rPr>
        <w:t>注：以上业绩需提供磋商文件要求的有关书面证明材料，否则不予认定。</w:t>
      </w:r>
    </w:p>
    <w:p>
      <w:pPr>
        <w:spacing w:line="360" w:lineRule="auto"/>
        <w:rPr>
          <w:rFonts w:ascii="Times New Roman" w:hAnsi="Times New Roman"/>
          <w:b/>
          <w:color w:val="auto"/>
          <w:sz w:val="28"/>
          <w:szCs w:val="28"/>
          <w:highlight w:val="none"/>
        </w:rPr>
      </w:pPr>
    </w:p>
    <w:p>
      <w:pPr>
        <w:spacing w:line="360" w:lineRule="auto"/>
        <w:jc w:val="center"/>
        <w:outlineLvl w:val="1"/>
        <w:rPr>
          <w:rFonts w:ascii="Times New Roman" w:hAnsi="Times New Roman"/>
          <w:b/>
          <w:color w:val="auto"/>
          <w:sz w:val="28"/>
          <w:szCs w:val="28"/>
          <w:highlight w:val="none"/>
        </w:rPr>
      </w:pPr>
      <w:bookmarkStart w:id="153" w:name="_Toc425153438"/>
      <w:bookmarkStart w:id="154" w:name="_Toc439244039"/>
      <w:r>
        <w:rPr>
          <w:rFonts w:ascii="Times New Roman" w:hAnsi="Times New Roman"/>
          <w:b/>
          <w:color w:val="auto"/>
          <w:sz w:val="28"/>
          <w:szCs w:val="28"/>
          <w:highlight w:val="none"/>
        </w:rPr>
        <w:br w:type="page"/>
      </w:r>
      <w:bookmarkEnd w:id="153"/>
      <w:bookmarkEnd w:id="154"/>
      <w:bookmarkStart w:id="155" w:name="_Toc25803"/>
      <w:r>
        <w:rPr>
          <w:rFonts w:hint="eastAsia" w:ascii="Times New Roman" w:hAnsi="Times New Roman"/>
          <w:b/>
          <w:color w:val="auto"/>
          <w:sz w:val="28"/>
          <w:szCs w:val="28"/>
          <w:highlight w:val="none"/>
          <w:lang w:val="en-US" w:eastAsia="zh-CN"/>
        </w:rPr>
        <w:t>九</w:t>
      </w:r>
      <w:r>
        <w:rPr>
          <w:rFonts w:ascii="Times New Roman" w:hAnsi="Times New Roman"/>
          <w:b/>
          <w:color w:val="auto"/>
          <w:sz w:val="28"/>
          <w:szCs w:val="28"/>
          <w:highlight w:val="none"/>
        </w:rPr>
        <w:t>、技术方案/加工方案/集成方案</w:t>
      </w:r>
      <w:bookmarkEnd w:id="155"/>
      <w:r>
        <w:rPr>
          <w:rFonts w:ascii="Times New Roman" w:hAnsi="Times New Roman"/>
          <w:b/>
          <w:color w:val="auto"/>
          <w:sz w:val="28"/>
          <w:szCs w:val="28"/>
          <w:highlight w:val="none"/>
        </w:rPr>
        <w:t>/服务方案</w:t>
      </w:r>
    </w:p>
    <w:p>
      <w:pPr>
        <w:spacing w:line="360" w:lineRule="auto"/>
        <w:jc w:val="center"/>
        <w:rPr>
          <w:rFonts w:ascii="Times New Roman" w:hAnsi="Times New Roman"/>
          <w:b/>
          <w:color w:val="auto"/>
          <w:sz w:val="28"/>
          <w:szCs w:val="28"/>
          <w:highlight w:val="none"/>
        </w:rPr>
      </w:pPr>
      <w:bookmarkStart w:id="156" w:name="_Toc3298173"/>
      <w:r>
        <w:rPr>
          <w:rFonts w:ascii="Times New Roman" w:hAnsi="Times New Roman"/>
          <w:b/>
          <w:color w:val="auto"/>
          <w:sz w:val="28"/>
          <w:szCs w:val="28"/>
          <w:highlight w:val="none"/>
        </w:rPr>
        <w:t>（依据磋商文件的内容进行制作，格式自拟）</w:t>
      </w:r>
      <w:bookmarkEnd w:id="156"/>
    </w:p>
    <w:p>
      <w:pPr>
        <w:spacing w:line="360" w:lineRule="auto"/>
        <w:jc w:val="center"/>
        <w:rPr>
          <w:rFonts w:ascii="Times New Roman" w:hAnsi="Times New Roman"/>
          <w:b/>
          <w:color w:val="auto"/>
          <w:sz w:val="28"/>
          <w:szCs w:val="28"/>
          <w:highlight w:val="none"/>
        </w:rPr>
      </w:pPr>
    </w:p>
    <w:p>
      <w:pPr>
        <w:spacing w:line="360" w:lineRule="auto"/>
        <w:jc w:val="center"/>
        <w:rPr>
          <w:rFonts w:ascii="Times New Roman" w:hAnsi="Times New Roman"/>
          <w:b/>
          <w:color w:val="auto"/>
          <w:sz w:val="28"/>
          <w:szCs w:val="28"/>
          <w:highlight w:val="none"/>
        </w:rPr>
      </w:pPr>
    </w:p>
    <w:p>
      <w:pPr>
        <w:spacing w:line="360" w:lineRule="auto"/>
        <w:jc w:val="center"/>
        <w:rPr>
          <w:rFonts w:ascii="Times New Roman" w:hAnsi="Times New Roman"/>
          <w:b/>
          <w:color w:val="auto"/>
          <w:sz w:val="28"/>
          <w:szCs w:val="28"/>
          <w:highlight w:val="none"/>
        </w:rPr>
      </w:pPr>
    </w:p>
    <w:p>
      <w:pPr>
        <w:spacing w:line="360" w:lineRule="auto"/>
        <w:jc w:val="center"/>
        <w:rPr>
          <w:rFonts w:ascii="Times New Roman" w:hAnsi="Times New Roman"/>
          <w:b/>
          <w:color w:val="auto"/>
          <w:sz w:val="28"/>
          <w:szCs w:val="28"/>
          <w:highlight w:val="none"/>
        </w:rPr>
      </w:pPr>
    </w:p>
    <w:p>
      <w:pPr>
        <w:rPr>
          <w:rFonts w:ascii="Times New Roman" w:hAnsi="Times New Roman"/>
          <w:color w:val="auto"/>
          <w:highlight w:val="none"/>
        </w:rPr>
      </w:pPr>
      <w:r>
        <w:rPr>
          <w:rFonts w:ascii="Times New Roman" w:hAnsi="Times New Roman"/>
          <w:color w:val="auto"/>
          <w:highlight w:val="none"/>
        </w:rPr>
        <w:br w:type="page"/>
      </w:r>
    </w:p>
    <w:p>
      <w:pPr>
        <w:widowControl/>
        <w:spacing w:before="312" w:beforeLines="100" w:after="0" w:line="360" w:lineRule="auto"/>
        <w:ind w:firstLine="551" w:firstLineChars="196"/>
        <w:jc w:val="center"/>
        <w:outlineLvl w:val="1"/>
        <w:rPr>
          <w:rFonts w:ascii="Arial" w:hAnsi="Arial" w:eastAsia="黑体" w:cs="Arial"/>
          <w:color w:val="auto"/>
          <w:sz w:val="32"/>
          <w:szCs w:val="32"/>
          <w:highlight w:val="none"/>
        </w:rPr>
      </w:pPr>
      <w:r>
        <w:rPr>
          <w:rFonts w:hint="eastAsia" w:ascii="Times New Roman" w:hAnsi="Times New Roman" w:eastAsiaTheme="majorEastAsia"/>
          <w:b/>
          <w:color w:val="auto"/>
          <w:sz w:val="28"/>
          <w:szCs w:val="28"/>
          <w:highlight w:val="none"/>
          <w:lang w:val="en-US" w:eastAsia="zh-CN"/>
        </w:rPr>
        <w:t>十、</w:t>
      </w:r>
      <w:r>
        <w:rPr>
          <w:rFonts w:ascii="Arial" w:hAnsi="Arial" w:eastAsia="黑体" w:cs="Arial"/>
          <w:color w:val="auto"/>
          <w:sz w:val="32"/>
          <w:szCs w:val="32"/>
          <w:highlight w:val="none"/>
        </w:rPr>
        <w:t>中小企业声明函</w:t>
      </w:r>
      <w:r>
        <w:rPr>
          <w:rFonts w:hint="eastAsia" w:ascii="Arial" w:hAnsi="Arial" w:eastAsia="黑体" w:cs="Arial"/>
          <w:color w:val="auto"/>
          <w:sz w:val="32"/>
          <w:szCs w:val="32"/>
          <w:highlight w:val="none"/>
        </w:rPr>
        <w:t>（工程、服务）</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color w:val="auto"/>
          <w:kern w:val="44"/>
          <w:sz w:val="24"/>
          <w:highlight w:val="none"/>
          <w:lang w:bidi="ar"/>
        </w:rPr>
      </w:pPr>
      <w:r>
        <w:rPr>
          <w:rFonts w:hint="eastAsia" w:ascii="宋体" w:hAnsi="宋体" w:cs="宋体"/>
          <w:color w:val="auto"/>
          <w:kern w:val="44"/>
          <w:sz w:val="24"/>
          <w:highlight w:val="none"/>
          <w:lang w:bidi="ar"/>
        </w:rPr>
        <w:t>本公司（联合体）郑重声明，根据《政府采购促进中小企业发展管理办法》（财库﹝2020﹞46 号）的规定，本公司（联合体）参加</w:t>
      </w:r>
      <w:r>
        <w:rPr>
          <w:rFonts w:hint="eastAsia" w:ascii="宋体" w:hAnsi="宋体" w:cs="宋体"/>
          <w:color w:val="auto"/>
          <w:kern w:val="44"/>
          <w:sz w:val="24"/>
          <w:highlight w:val="none"/>
          <w:u w:val="single"/>
          <w:lang w:bidi="ar"/>
        </w:rPr>
        <w:t>（单位名称）</w:t>
      </w:r>
      <w:r>
        <w:rPr>
          <w:rFonts w:hint="eastAsia" w:ascii="宋体" w:hAnsi="宋体" w:cs="宋体"/>
          <w:color w:val="auto"/>
          <w:kern w:val="44"/>
          <w:sz w:val="24"/>
          <w:highlight w:val="none"/>
          <w:lang w:bidi="ar"/>
        </w:rPr>
        <w:t>的</w:t>
      </w:r>
      <w:r>
        <w:rPr>
          <w:rFonts w:hint="eastAsia" w:ascii="宋体" w:hAnsi="宋体" w:cs="宋体"/>
          <w:color w:val="auto"/>
          <w:kern w:val="44"/>
          <w:sz w:val="24"/>
          <w:highlight w:val="none"/>
          <w:u w:val="single"/>
          <w:lang w:bidi="ar"/>
        </w:rPr>
        <w:t>（项目名称）</w:t>
      </w:r>
      <w:r>
        <w:rPr>
          <w:rFonts w:hint="eastAsia" w:ascii="宋体" w:hAnsi="宋体" w:cs="宋体"/>
          <w:color w:val="auto"/>
          <w:kern w:val="44"/>
          <w:sz w:val="24"/>
          <w:highlight w:val="none"/>
          <w:lang w:bidi="ar"/>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color w:val="auto"/>
          <w:kern w:val="44"/>
          <w:sz w:val="24"/>
          <w:highlight w:val="none"/>
          <w:lang w:bidi="ar"/>
        </w:rPr>
      </w:pPr>
      <w:r>
        <w:rPr>
          <w:rFonts w:hint="eastAsia" w:ascii="宋体" w:hAnsi="宋体" w:cs="宋体"/>
          <w:color w:val="auto"/>
          <w:kern w:val="44"/>
          <w:sz w:val="24"/>
          <w:highlight w:val="none"/>
          <w:lang w:bidi="ar"/>
        </w:rPr>
        <w:t xml:space="preserve">1. </w:t>
      </w:r>
      <w:r>
        <w:rPr>
          <w:rFonts w:hint="eastAsia" w:ascii="宋体" w:hAnsi="宋体" w:cs="宋体"/>
          <w:color w:val="auto"/>
          <w:kern w:val="44"/>
          <w:sz w:val="24"/>
          <w:highlight w:val="none"/>
          <w:u w:val="single"/>
          <w:lang w:bidi="ar"/>
        </w:rPr>
        <w:t xml:space="preserve">（标的名称） </w:t>
      </w:r>
      <w:r>
        <w:rPr>
          <w:rFonts w:hint="eastAsia" w:ascii="宋体" w:hAnsi="宋体" w:cs="宋体"/>
          <w:color w:val="auto"/>
          <w:kern w:val="44"/>
          <w:sz w:val="24"/>
          <w:highlight w:val="none"/>
          <w:lang w:bidi="ar"/>
        </w:rPr>
        <w:t>，属于</w:t>
      </w:r>
      <w:r>
        <w:rPr>
          <w:rFonts w:hint="eastAsia" w:ascii="宋体" w:hAnsi="宋体" w:cs="宋体"/>
          <w:color w:val="auto"/>
          <w:kern w:val="44"/>
          <w:sz w:val="24"/>
          <w:highlight w:val="none"/>
          <w:u w:val="single"/>
          <w:lang w:bidi="ar"/>
        </w:rPr>
        <w:t>（采购文件中明确的所属行业）</w:t>
      </w:r>
      <w:r>
        <w:rPr>
          <w:rFonts w:hint="eastAsia" w:ascii="宋体" w:hAnsi="宋体" w:cs="宋体"/>
          <w:color w:val="auto"/>
          <w:kern w:val="44"/>
          <w:sz w:val="24"/>
          <w:highlight w:val="none"/>
          <w:lang w:bidi="ar"/>
        </w:rPr>
        <w:t>； 承建（承接）企业为</w:t>
      </w:r>
      <w:r>
        <w:rPr>
          <w:rFonts w:hint="eastAsia" w:ascii="宋体" w:hAnsi="宋体" w:cs="宋体"/>
          <w:color w:val="auto"/>
          <w:kern w:val="44"/>
          <w:sz w:val="24"/>
          <w:highlight w:val="none"/>
          <w:u w:val="single"/>
          <w:lang w:bidi="ar"/>
        </w:rPr>
        <w:t>（企业名称）</w:t>
      </w:r>
      <w:r>
        <w:rPr>
          <w:rFonts w:hint="eastAsia" w:ascii="宋体" w:hAnsi="宋体" w:cs="宋体"/>
          <w:color w:val="auto"/>
          <w:kern w:val="44"/>
          <w:sz w:val="24"/>
          <w:highlight w:val="none"/>
          <w:lang w:bidi="ar"/>
        </w:rPr>
        <w:t>，从业人员</w:t>
      </w:r>
      <w:r>
        <w:rPr>
          <w:rFonts w:hint="eastAsia" w:ascii="宋体" w:hAnsi="宋体" w:cs="宋体"/>
          <w:color w:val="auto"/>
          <w:kern w:val="44"/>
          <w:sz w:val="24"/>
          <w:highlight w:val="none"/>
          <w:u w:val="single"/>
          <w:lang w:bidi="ar"/>
        </w:rPr>
        <w:t xml:space="preserve">    </w:t>
      </w:r>
      <w:r>
        <w:rPr>
          <w:rFonts w:hint="eastAsia" w:ascii="宋体" w:hAnsi="宋体" w:cs="宋体"/>
          <w:color w:val="auto"/>
          <w:kern w:val="44"/>
          <w:sz w:val="24"/>
          <w:highlight w:val="none"/>
          <w:lang w:bidi="ar"/>
        </w:rPr>
        <w:t>人，营业收入为</w:t>
      </w:r>
      <w:r>
        <w:rPr>
          <w:rFonts w:hint="eastAsia" w:ascii="宋体" w:hAnsi="宋体" w:cs="宋体"/>
          <w:color w:val="auto"/>
          <w:kern w:val="44"/>
          <w:sz w:val="24"/>
          <w:highlight w:val="none"/>
          <w:u w:val="single"/>
          <w:lang w:bidi="ar"/>
        </w:rPr>
        <w:t xml:space="preserve">    </w:t>
      </w:r>
      <w:r>
        <w:rPr>
          <w:rFonts w:hint="eastAsia" w:ascii="宋体" w:hAnsi="宋体" w:cs="宋体"/>
          <w:color w:val="auto"/>
          <w:kern w:val="44"/>
          <w:sz w:val="24"/>
          <w:highlight w:val="none"/>
          <w:lang w:bidi="ar"/>
        </w:rPr>
        <w:t>万元，资产总额为</w:t>
      </w:r>
      <w:r>
        <w:rPr>
          <w:rFonts w:hint="eastAsia" w:ascii="宋体" w:hAnsi="宋体" w:cs="宋体"/>
          <w:color w:val="auto"/>
          <w:kern w:val="44"/>
          <w:sz w:val="24"/>
          <w:highlight w:val="none"/>
          <w:u w:val="single"/>
          <w:lang w:bidi="ar"/>
        </w:rPr>
        <w:t xml:space="preserve">      </w:t>
      </w:r>
      <w:r>
        <w:rPr>
          <w:rFonts w:hint="eastAsia" w:ascii="宋体" w:hAnsi="宋体" w:cs="宋体"/>
          <w:color w:val="auto"/>
          <w:kern w:val="44"/>
          <w:sz w:val="24"/>
          <w:highlight w:val="none"/>
          <w:lang w:bidi="ar"/>
        </w:rPr>
        <w:t>万元</w:t>
      </w:r>
      <w:r>
        <w:rPr>
          <w:rFonts w:ascii="Times New Roman" w:hAnsi="Times New Roman"/>
          <w:color w:val="auto"/>
          <w:kern w:val="44"/>
          <w:sz w:val="24"/>
          <w:highlight w:val="none"/>
          <w:vertAlign w:val="superscript"/>
          <w:lang w:bidi="ar"/>
        </w:rPr>
        <w:t>1</w:t>
      </w:r>
      <w:r>
        <w:rPr>
          <w:rFonts w:hint="eastAsia" w:ascii="宋体" w:hAnsi="宋体" w:cs="宋体"/>
          <w:color w:val="auto"/>
          <w:kern w:val="44"/>
          <w:sz w:val="24"/>
          <w:highlight w:val="none"/>
          <w:lang w:bidi="ar"/>
        </w:rPr>
        <w:t>，属于（</w:t>
      </w:r>
      <w:r>
        <w:rPr>
          <w:rFonts w:hint="eastAsia" w:ascii="宋体" w:hAnsi="宋体" w:cs="宋体"/>
          <w:color w:val="auto"/>
          <w:kern w:val="44"/>
          <w:sz w:val="24"/>
          <w:highlight w:val="none"/>
          <w:u w:val="single"/>
          <w:lang w:bidi="ar"/>
        </w:rPr>
        <w:t>中型企业、 小型企业、微型企业</w:t>
      </w:r>
      <w:r>
        <w:rPr>
          <w:rFonts w:hint="eastAsia" w:ascii="宋体" w:hAnsi="宋体" w:cs="宋体"/>
          <w:color w:val="auto"/>
          <w:kern w:val="44"/>
          <w:sz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color w:val="auto"/>
          <w:kern w:val="44"/>
          <w:sz w:val="24"/>
          <w:highlight w:val="none"/>
          <w:lang w:bidi="ar"/>
        </w:rPr>
      </w:pPr>
      <w:r>
        <w:rPr>
          <w:rFonts w:hint="eastAsia" w:ascii="宋体" w:hAnsi="宋体" w:cs="宋体"/>
          <w:color w:val="auto"/>
          <w:kern w:val="44"/>
          <w:sz w:val="24"/>
          <w:highlight w:val="none"/>
          <w:lang w:bidi="ar"/>
        </w:rPr>
        <w:t xml:space="preserve">2. </w:t>
      </w:r>
      <w:r>
        <w:rPr>
          <w:rFonts w:hint="eastAsia" w:ascii="宋体" w:hAnsi="宋体" w:cs="宋体"/>
          <w:color w:val="auto"/>
          <w:kern w:val="44"/>
          <w:sz w:val="24"/>
          <w:highlight w:val="none"/>
          <w:u w:val="single"/>
          <w:lang w:bidi="ar"/>
        </w:rPr>
        <w:t>（标的名称）</w:t>
      </w:r>
      <w:r>
        <w:rPr>
          <w:rFonts w:hint="eastAsia" w:ascii="宋体" w:hAnsi="宋体" w:cs="宋体"/>
          <w:color w:val="auto"/>
          <w:kern w:val="44"/>
          <w:sz w:val="24"/>
          <w:highlight w:val="none"/>
          <w:lang w:bidi="ar"/>
        </w:rPr>
        <w:t xml:space="preserve"> ，属于</w:t>
      </w:r>
      <w:r>
        <w:rPr>
          <w:rFonts w:hint="eastAsia" w:ascii="宋体" w:hAnsi="宋体" w:cs="宋体"/>
          <w:color w:val="auto"/>
          <w:kern w:val="44"/>
          <w:sz w:val="24"/>
          <w:highlight w:val="none"/>
          <w:u w:val="single"/>
          <w:lang w:bidi="ar"/>
        </w:rPr>
        <w:t>（采购文件中明确的所属行业）</w:t>
      </w:r>
      <w:r>
        <w:rPr>
          <w:rFonts w:hint="eastAsia" w:ascii="宋体" w:hAnsi="宋体" w:cs="宋体"/>
          <w:color w:val="auto"/>
          <w:kern w:val="44"/>
          <w:sz w:val="24"/>
          <w:highlight w:val="none"/>
          <w:lang w:bidi="ar"/>
        </w:rPr>
        <w:t>； 承建（承接）企业为</w:t>
      </w:r>
      <w:r>
        <w:rPr>
          <w:rFonts w:hint="eastAsia" w:ascii="宋体" w:hAnsi="宋体" w:cs="宋体"/>
          <w:color w:val="auto"/>
          <w:kern w:val="44"/>
          <w:sz w:val="24"/>
          <w:highlight w:val="none"/>
          <w:u w:val="single"/>
          <w:lang w:bidi="ar"/>
        </w:rPr>
        <w:t>（企业名称）</w:t>
      </w:r>
      <w:r>
        <w:rPr>
          <w:rFonts w:hint="eastAsia" w:ascii="宋体" w:hAnsi="宋体" w:cs="宋体"/>
          <w:color w:val="auto"/>
          <w:kern w:val="44"/>
          <w:sz w:val="24"/>
          <w:highlight w:val="none"/>
          <w:lang w:bidi="ar"/>
        </w:rPr>
        <w:t>，从业人员</w:t>
      </w:r>
      <w:r>
        <w:rPr>
          <w:rFonts w:hint="eastAsia" w:ascii="宋体" w:hAnsi="宋体" w:cs="宋体"/>
          <w:color w:val="auto"/>
          <w:kern w:val="44"/>
          <w:sz w:val="24"/>
          <w:highlight w:val="none"/>
          <w:u w:val="single"/>
          <w:lang w:bidi="ar"/>
        </w:rPr>
        <w:t xml:space="preserve">    </w:t>
      </w:r>
      <w:r>
        <w:rPr>
          <w:rFonts w:hint="eastAsia" w:ascii="宋体" w:hAnsi="宋体" w:cs="宋体"/>
          <w:color w:val="auto"/>
          <w:kern w:val="44"/>
          <w:sz w:val="24"/>
          <w:highlight w:val="none"/>
          <w:lang w:bidi="ar"/>
        </w:rPr>
        <w:t>人，营业收入为</w:t>
      </w:r>
      <w:r>
        <w:rPr>
          <w:rFonts w:hint="eastAsia" w:ascii="宋体" w:hAnsi="宋体" w:cs="宋体"/>
          <w:color w:val="auto"/>
          <w:kern w:val="44"/>
          <w:sz w:val="24"/>
          <w:highlight w:val="none"/>
          <w:u w:val="single"/>
          <w:lang w:bidi="ar"/>
        </w:rPr>
        <w:t xml:space="preserve">    </w:t>
      </w:r>
      <w:r>
        <w:rPr>
          <w:rFonts w:hint="eastAsia" w:ascii="宋体" w:hAnsi="宋体" w:cs="宋体"/>
          <w:color w:val="auto"/>
          <w:kern w:val="44"/>
          <w:sz w:val="24"/>
          <w:highlight w:val="none"/>
          <w:lang w:bidi="ar"/>
        </w:rPr>
        <w:t>万元，资产总额为</w:t>
      </w:r>
      <w:r>
        <w:rPr>
          <w:rFonts w:hint="eastAsia" w:ascii="宋体" w:hAnsi="宋体" w:cs="宋体"/>
          <w:color w:val="auto"/>
          <w:kern w:val="44"/>
          <w:sz w:val="24"/>
          <w:highlight w:val="none"/>
          <w:u w:val="single"/>
          <w:lang w:bidi="ar"/>
        </w:rPr>
        <w:t xml:space="preserve">      </w:t>
      </w:r>
      <w:r>
        <w:rPr>
          <w:rFonts w:hint="eastAsia" w:ascii="宋体" w:hAnsi="宋体" w:cs="宋体"/>
          <w:color w:val="auto"/>
          <w:kern w:val="44"/>
          <w:sz w:val="24"/>
          <w:highlight w:val="none"/>
          <w:lang w:bidi="ar"/>
        </w:rPr>
        <w:t>万元</w:t>
      </w:r>
      <w:r>
        <w:rPr>
          <w:rFonts w:ascii="Times New Roman" w:hAnsi="Times New Roman"/>
          <w:color w:val="auto"/>
          <w:kern w:val="44"/>
          <w:sz w:val="24"/>
          <w:highlight w:val="none"/>
          <w:vertAlign w:val="superscript"/>
          <w:lang w:bidi="ar"/>
        </w:rPr>
        <w:t>1</w:t>
      </w:r>
      <w:r>
        <w:rPr>
          <w:rFonts w:hint="eastAsia" w:ascii="宋体" w:hAnsi="宋体" w:cs="宋体"/>
          <w:color w:val="auto"/>
          <w:kern w:val="44"/>
          <w:sz w:val="24"/>
          <w:highlight w:val="none"/>
          <w:lang w:bidi="ar"/>
        </w:rPr>
        <w:t>，属于（</w:t>
      </w:r>
      <w:r>
        <w:rPr>
          <w:rFonts w:hint="eastAsia" w:ascii="宋体" w:hAnsi="宋体" w:cs="宋体"/>
          <w:color w:val="auto"/>
          <w:kern w:val="44"/>
          <w:sz w:val="24"/>
          <w:highlight w:val="none"/>
          <w:u w:val="single"/>
          <w:lang w:bidi="ar"/>
        </w:rPr>
        <w:t>中型企业、 小型企业、微型企业</w:t>
      </w:r>
      <w:r>
        <w:rPr>
          <w:rFonts w:hint="eastAsia" w:ascii="宋体" w:hAnsi="宋体" w:cs="宋体"/>
          <w:color w:val="auto"/>
          <w:kern w:val="44"/>
          <w:sz w:val="24"/>
          <w:highlight w:val="none"/>
          <w:lang w:bidi="ar"/>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color w:val="auto"/>
          <w:kern w:val="44"/>
          <w:sz w:val="24"/>
          <w:highlight w:val="none"/>
          <w:lang w:bidi="ar"/>
        </w:rPr>
      </w:pPr>
      <w:r>
        <w:rPr>
          <w:rFonts w:hint="eastAsia" w:ascii="宋体" w:hAnsi="宋体" w:cs="宋体"/>
          <w:color w:val="auto"/>
          <w:kern w:val="44"/>
          <w:sz w:val="24"/>
          <w:highlight w:val="none"/>
          <w:lang w:bidi="ar"/>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color w:val="auto"/>
          <w:kern w:val="44"/>
          <w:sz w:val="24"/>
          <w:highlight w:val="none"/>
          <w:lang w:bidi="ar"/>
        </w:rPr>
      </w:pPr>
      <w:r>
        <w:rPr>
          <w:rFonts w:hint="eastAsia" w:ascii="宋体" w:hAnsi="宋体" w:cs="宋体"/>
          <w:color w:val="auto"/>
          <w:kern w:val="44"/>
          <w:sz w:val="24"/>
          <w:highlight w:val="none"/>
          <w:lang w:bidi="ar"/>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cs="宋体"/>
          <w:color w:val="auto"/>
          <w:kern w:val="44"/>
          <w:sz w:val="24"/>
          <w:highlight w:val="none"/>
          <w:lang w:bidi="ar"/>
        </w:rPr>
      </w:pPr>
      <w:r>
        <w:rPr>
          <w:rFonts w:hint="eastAsia" w:ascii="宋体" w:hAnsi="宋体" w:cs="宋体"/>
          <w:color w:val="auto"/>
          <w:kern w:val="44"/>
          <w:sz w:val="24"/>
          <w:highlight w:val="none"/>
          <w:lang w:bidi="ar"/>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eastAsia" w:ascii="宋体" w:hAnsi="宋体" w:cs="宋体"/>
          <w:color w:val="auto"/>
          <w:kern w:val="44"/>
          <w:sz w:val="24"/>
          <w:highlight w:val="none"/>
          <w:lang w:bidi="ar"/>
        </w:rPr>
      </w:pPr>
      <w:r>
        <w:rPr>
          <w:rFonts w:hint="eastAsia" w:ascii="宋体" w:hAnsi="宋体" w:cs="宋体"/>
          <w:color w:val="auto"/>
          <w:kern w:val="44"/>
          <w:sz w:val="24"/>
          <w:highlight w:val="none"/>
          <w:lang w:bidi="ar"/>
        </w:rPr>
        <w:t xml:space="preserve">企业名称（盖章）： </w:t>
      </w:r>
    </w:p>
    <w:p>
      <w:pPr>
        <w:keepNext w:val="0"/>
        <w:keepLines w:val="0"/>
        <w:pageBreakBefore w:val="0"/>
        <w:widowControl w:val="0"/>
        <w:kinsoku/>
        <w:wordWrap/>
        <w:overflowPunct/>
        <w:topLinePunct w:val="0"/>
        <w:autoSpaceDE/>
        <w:autoSpaceDN/>
        <w:bidi w:val="0"/>
        <w:adjustRightInd/>
        <w:snapToGrid/>
        <w:spacing w:after="0" w:line="360" w:lineRule="auto"/>
        <w:ind w:firstLine="6720" w:firstLineChars="2800"/>
        <w:textAlignment w:val="auto"/>
        <w:rPr>
          <w:rFonts w:hint="eastAsia" w:ascii="宋体" w:hAnsi="宋体" w:cs="宋体"/>
          <w:color w:val="auto"/>
          <w:kern w:val="44"/>
          <w:sz w:val="24"/>
          <w:highlight w:val="none"/>
          <w:lang w:bidi="ar"/>
        </w:rPr>
      </w:pPr>
      <w:r>
        <w:rPr>
          <w:rFonts w:hint="eastAsia" w:ascii="宋体" w:hAnsi="宋体" w:cs="宋体"/>
          <w:color w:val="auto"/>
          <w:kern w:val="44"/>
          <w:sz w:val="24"/>
          <w:highlight w:val="none"/>
          <w:lang w:bidi="ar"/>
        </w:rPr>
        <w:t xml:space="preserve">日 期： </w:t>
      </w:r>
    </w:p>
    <w:p>
      <w:pPr>
        <w:spacing w:after="0" w:line="360" w:lineRule="auto"/>
        <w:rPr>
          <w:color w:val="auto"/>
          <w:sz w:val="24"/>
          <w:highlight w:val="none"/>
        </w:rPr>
      </w:pPr>
    </w:p>
    <w:p>
      <w:pPr>
        <w:pStyle w:val="2"/>
        <w:rPr>
          <w:color w:val="auto"/>
          <w:highlight w:val="none"/>
        </w:rPr>
      </w:pPr>
    </w:p>
    <w:p>
      <w:pPr>
        <w:spacing w:line="360" w:lineRule="auto"/>
        <w:jc w:val="left"/>
        <w:rPr>
          <w:rFonts w:ascii="Arial" w:hAnsi="Arial" w:cs="Arial"/>
          <w:color w:val="auto"/>
          <w:spacing w:val="6"/>
          <w:sz w:val="24"/>
          <w:highlight w:val="none"/>
        </w:rPr>
      </w:pPr>
      <w:r>
        <w:rPr>
          <w:rFonts w:ascii="Times New Roman" w:hAnsi="Times New Roman"/>
          <w:color w:val="auto"/>
          <w:kern w:val="0"/>
          <w:sz w:val="24"/>
          <w:highlight w:val="none"/>
          <w:lang w:bidi="ar"/>
        </w:rPr>
        <w:t>1</w:t>
      </w:r>
      <w:r>
        <w:rPr>
          <w:rFonts w:hint="eastAsia" w:ascii="宋体" w:hAnsi="宋体" w:cs="宋体"/>
          <w:color w:val="auto"/>
          <w:kern w:val="0"/>
          <w:sz w:val="24"/>
          <w:highlight w:val="none"/>
          <w:lang w:bidi="ar"/>
        </w:rPr>
        <w:t>从业人员、营业收入、资产总额填报上一年度数据，无上一年度数据的新成立企业可不填报。</w:t>
      </w:r>
    </w:p>
    <w:p>
      <w:pPr>
        <w:spacing w:line="360" w:lineRule="auto"/>
        <w:jc w:val="left"/>
        <w:rPr>
          <w:rFonts w:ascii="Times New Roman" w:hAnsi="Times New Roman"/>
          <w:color w:val="auto"/>
          <w:spacing w:val="6"/>
          <w:sz w:val="24"/>
          <w:highlight w:val="none"/>
        </w:rPr>
      </w:pPr>
    </w:p>
    <w:p>
      <w:pPr>
        <w:spacing w:line="360" w:lineRule="auto"/>
        <w:rPr>
          <w:rFonts w:ascii="Times New Roman" w:hAnsi="Times New Roman" w:eastAsia="黑体"/>
          <w:b/>
          <w:color w:val="auto"/>
          <w:sz w:val="32"/>
          <w:szCs w:val="32"/>
          <w:highlight w:val="none"/>
        </w:rPr>
      </w:pPr>
      <w:r>
        <w:rPr>
          <w:rFonts w:ascii="Times New Roman" w:hAnsi="Times New Roman" w:eastAsia="黑体"/>
          <w:b/>
          <w:color w:val="auto"/>
          <w:sz w:val="32"/>
          <w:szCs w:val="32"/>
          <w:highlight w:val="none"/>
        </w:rPr>
        <w:br w:type="page"/>
      </w:r>
    </w:p>
    <w:p>
      <w:pPr>
        <w:spacing w:line="360" w:lineRule="auto"/>
        <w:jc w:val="center"/>
        <w:outlineLvl w:val="1"/>
        <w:rPr>
          <w:rFonts w:ascii="Times New Roman" w:hAnsi="Times New Roman" w:eastAsiaTheme="majorEastAsia"/>
          <w:b/>
          <w:color w:val="auto"/>
          <w:sz w:val="28"/>
          <w:szCs w:val="28"/>
          <w:highlight w:val="none"/>
        </w:rPr>
      </w:pPr>
      <w:bookmarkStart w:id="157" w:name="_Toc21017"/>
      <w:r>
        <w:rPr>
          <w:rFonts w:ascii="Times New Roman" w:hAnsi="Times New Roman" w:eastAsiaTheme="majorEastAsia"/>
          <w:b/>
          <w:color w:val="auto"/>
          <w:sz w:val="28"/>
          <w:szCs w:val="28"/>
          <w:highlight w:val="none"/>
        </w:rPr>
        <w:t>十</w:t>
      </w:r>
      <w:r>
        <w:rPr>
          <w:rFonts w:hint="eastAsia" w:ascii="Times New Roman" w:hAnsi="Times New Roman" w:eastAsiaTheme="majorEastAsia"/>
          <w:b/>
          <w:color w:val="auto"/>
          <w:sz w:val="28"/>
          <w:szCs w:val="28"/>
          <w:highlight w:val="none"/>
          <w:lang w:val="en-US" w:eastAsia="zh-CN"/>
        </w:rPr>
        <w:t>一</w:t>
      </w:r>
      <w:r>
        <w:rPr>
          <w:rFonts w:ascii="Times New Roman" w:hAnsi="Times New Roman" w:eastAsiaTheme="majorEastAsia"/>
          <w:b/>
          <w:color w:val="auto"/>
          <w:sz w:val="28"/>
          <w:szCs w:val="28"/>
          <w:highlight w:val="none"/>
        </w:rPr>
        <w:t>、残疾人福利性单位声明函</w:t>
      </w:r>
      <w:bookmarkEnd w:id="157"/>
    </w:p>
    <w:p>
      <w:pPr>
        <w:spacing w:line="360" w:lineRule="auto"/>
        <w:ind w:firstLine="504" w:firstLineChars="200"/>
        <w:rPr>
          <w:rFonts w:ascii="Times New Roman" w:hAnsi="Times New Roman"/>
          <w:color w:val="auto"/>
          <w:spacing w:val="6"/>
          <w:sz w:val="24"/>
          <w:highlight w:val="none"/>
        </w:rPr>
      </w:pPr>
      <w:r>
        <w:rPr>
          <w:rFonts w:ascii="Times New Roman" w:hAnsi="Times New Roman"/>
          <w:color w:val="auto"/>
          <w:spacing w:val="6"/>
          <w:sz w:val="24"/>
          <w:highlight w:val="none"/>
        </w:rPr>
        <w:t>本单位郑重声明，根据《财政部 民政部 中国残疾人联合会关于促进残疾人就业政府采购政策的通知》（财库</w:t>
      </w:r>
      <w:r>
        <w:rPr>
          <w:rFonts w:ascii="Times New Roman" w:hAnsi="Times New Roman"/>
          <w:color w:val="auto"/>
          <w:sz w:val="24"/>
          <w:highlight w:val="none"/>
        </w:rPr>
        <w:t>〔2017〕 141</w:t>
      </w:r>
      <w:r>
        <w:rPr>
          <w:rFonts w:ascii="Times New Roman" w:hAnsi="Times New Roman"/>
          <w:color w:val="auto"/>
          <w:spacing w:val="6"/>
          <w:sz w:val="24"/>
          <w:highlight w:val="none"/>
        </w:rPr>
        <w:t>号）的规定，本单位为符合条件的残疾人福利性单位，且本单位参加</w:t>
      </w:r>
      <w:r>
        <w:rPr>
          <w:rFonts w:hint="eastAsia" w:ascii="Times New Roman" w:hAnsi="Times New Roman"/>
          <w:b/>
          <w:color w:val="auto"/>
          <w:sz w:val="24"/>
          <w:highlight w:val="none"/>
          <w:u w:val="single"/>
        </w:rPr>
        <w:t>中国工程物理研究院</w:t>
      </w:r>
      <w:r>
        <w:rPr>
          <w:rFonts w:hint="eastAsia" w:ascii="Times New Roman" w:hAnsi="Times New Roman"/>
          <w:b/>
          <w:color w:val="auto"/>
          <w:sz w:val="24"/>
          <w:highlight w:val="none"/>
          <w:u w:val="single"/>
          <w:lang w:eastAsia="zh-CN"/>
        </w:rPr>
        <w:t>应用电子学研究所</w:t>
      </w:r>
      <w:r>
        <w:rPr>
          <w:rFonts w:ascii="Times New Roman" w:hAnsi="Times New Roman"/>
          <w:b/>
          <w:color w:val="auto"/>
          <w:sz w:val="24"/>
          <w:highlight w:val="none"/>
          <w:u w:val="single"/>
        </w:rPr>
        <w:t xml:space="preserve"> </w:t>
      </w:r>
      <w:r>
        <w:rPr>
          <w:rFonts w:ascii="Times New Roman" w:hAnsi="Times New Roman"/>
          <w:color w:val="auto"/>
          <w:spacing w:val="6"/>
          <w:sz w:val="24"/>
          <w:highlight w:val="none"/>
        </w:rPr>
        <w:t>的</w:t>
      </w:r>
      <w:r>
        <w:rPr>
          <w:rFonts w:hint="eastAsia" w:ascii="Times New Roman" w:hAnsi="Times New Roman"/>
          <w:color w:val="auto"/>
          <w:spacing w:val="6"/>
          <w:sz w:val="24"/>
          <w:highlight w:val="none"/>
          <w:u w:val="single"/>
          <w:lang w:eastAsia="zh-CN"/>
        </w:rPr>
        <w:t>GJB 5000B换版服务</w:t>
      </w:r>
      <w:r>
        <w:rPr>
          <w:rFonts w:ascii="Times New Roman" w:hAnsi="Times New Roman"/>
          <w:color w:val="auto"/>
          <w:spacing w:val="6"/>
          <w:sz w:val="24"/>
          <w:highlight w:val="none"/>
        </w:rPr>
        <w:t>项目采购活动提供本单位</w:t>
      </w:r>
      <w:r>
        <w:rPr>
          <w:rFonts w:hint="eastAsia" w:ascii="Times New Roman" w:hAnsi="Times New Roman"/>
          <w:color w:val="auto"/>
          <w:spacing w:val="6"/>
          <w:sz w:val="24"/>
          <w:highlight w:val="none"/>
          <w:lang w:val="en-US" w:eastAsia="zh-CN"/>
        </w:rPr>
        <w:t>提供</w:t>
      </w:r>
      <w:r>
        <w:rPr>
          <w:rFonts w:ascii="Times New Roman" w:hAnsi="Times New Roman"/>
          <w:color w:val="auto"/>
          <w:spacing w:val="6"/>
          <w:sz w:val="24"/>
          <w:highlight w:val="none"/>
        </w:rPr>
        <w:t>的</w:t>
      </w:r>
      <w:r>
        <w:rPr>
          <w:rFonts w:hint="eastAsia" w:ascii="Times New Roman" w:hAnsi="Times New Roman"/>
          <w:color w:val="auto"/>
          <w:spacing w:val="6"/>
          <w:sz w:val="24"/>
          <w:highlight w:val="none"/>
          <w:lang w:val="en-US" w:eastAsia="zh-CN"/>
        </w:rPr>
        <w:t>服务</w:t>
      </w:r>
      <w:r>
        <w:rPr>
          <w:rFonts w:ascii="Times New Roman" w:hAnsi="Times New Roman"/>
          <w:color w:val="auto"/>
          <w:spacing w:val="6"/>
          <w:sz w:val="24"/>
          <w:highlight w:val="none"/>
        </w:rPr>
        <w:t>（由本单位承担工程/</w:t>
      </w:r>
      <w:r>
        <w:rPr>
          <w:rFonts w:hint="eastAsia" w:ascii="Times New Roman" w:hAnsi="Times New Roman"/>
          <w:color w:val="auto"/>
          <w:spacing w:val="6"/>
          <w:sz w:val="24"/>
          <w:highlight w:val="none"/>
          <w:lang w:val="en-US" w:eastAsia="zh-CN"/>
        </w:rPr>
        <w:t>制造货物</w:t>
      </w:r>
      <w:r>
        <w:rPr>
          <w:rFonts w:ascii="Times New Roman" w:hAnsi="Times New Roman"/>
          <w:color w:val="auto"/>
          <w:spacing w:val="6"/>
          <w:sz w:val="24"/>
          <w:highlight w:val="none"/>
        </w:rPr>
        <w:t>），或者提供其他残疾人福利性单位</w:t>
      </w:r>
      <w:r>
        <w:rPr>
          <w:rFonts w:hint="eastAsia" w:ascii="Times New Roman" w:hAnsi="Times New Roman"/>
          <w:color w:val="auto"/>
          <w:spacing w:val="6"/>
          <w:sz w:val="24"/>
          <w:highlight w:val="none"/>
          <w:lang w:val="en-US" w:eastAsia="zh-CN"/>
        </w:rPr>
        <w:t>提供</w:t>
      </w:r>
      <w:r>
        <w:rPr>
          <w:rFonts w:ascii="Times New Roman" w:hAnsi="Times New Roman"/>
          <w:color w:val="auto"/>
          <w:spacing w:val="6"/>
          <w:sz w:val="24"/>
          <w:highlight w:val="none"/>
        </w:rPr>
        <w:t>的</w:t>
      </w:r>
      <w:r>
        <w:rPr>
          <w:rFonts w:hint="eastAsia" w:ascii="Times New Roman" w:hAnsi="Times New Roman"/>
          <w:color w:val="auto"/>
          <w:spacing w:val="6"/>
          <w:sz w:val="24"/>
          <w:highlight w:val="none"/>
          <w:lang w:val="en-US" w:eastAsia="zh-CN"/>
        </w:rPr>
        <w:t>服务</w:t>
      </w:r>
      <w:r>
        <w:rPr>
          <w:rFonts w:ascii="Times New Roman" w:hAnsi="Times New Roman"/>
          <w:color w:val="auto"/>
          <w:spacing w:val="6"/>
          <w:sz w:val="24"/>
          <w:highlight w:val="none"/>
        </w:rPr>
        <w:t>（不包括使用非残疾人福利性单位注册商标的货物）。</w:t>
      </w:r>
    </w:p>
    <w:p>
      <w:pPr>
        <w:spacing w:line="360" w:lineRule="auto"/>
        <w:ind w:firstLine="504" w:firstLineChars="200"/>
        <w:rPr>
          <w:rFonts w:ascii="Times New Roman" w:hAnsi="Times New Roman"/>
          <w:color w:val="auto"/>
          <w:spacing w:val="6"/>
          <w:sz w:val="24"/>
          <w:highlight w:val="none"/>
        </w:rPr>
      </w:pPr>
      <w:r>
        <w:rPr>
          <w:rFonts w:ascii="Times New Roman" w:hAnsi="Times New Roman"/>
          <w:color w:val="auto"/>
          <w:spacing w:val="6"/>
          <w:sz w:val="24"/>
          <w:highlight w:val="none"/>
        </w:rPr>
        <w:t>本单位对上述声明的真实性负责。如有虚假，将依法承担相应责任。</w:t>
      </w:r>
    </w:p>
    <w:p>
      <w:pPr>
        <w:spacing w:line="360" w:lineRule="auto"/>
        <w:rPr>
          <w:rFonts w:ascii="Times New Roman" w:hAnsi="Times New Roman"/>
          <w:color w:val="auto"/>
          <w:spacing w:val="6"/>
          <w:sz w:val="24"/>
          <w:highlight w:val="none"/>
        </w:rPr>
      </w:pPr>
    </w:p>
    <w:p>
      <w:pPr>
        <w:spacing w:line="360" w:lineRule="auto"/>
        <w:rPr>
          <w:rFonts w:ascii="Times New Roman" w:hAnsi="Times New Roman"/>
          <w:color w:val="auto"/>
          <w:spacing w:val="6"/>
          <w:sz w:val="24"/>
          <w:highlight w:val="none"/>
        </w:rPr>
      </w:pPr>
    </w:p>
    <w:p>
      <w:pPr>
        <w:tabs>
          <w:tab w:val="left" w:pos="4860"/>
        </w:tabs>
        <w:spacing w:line="360" w:lineRule="auto"/>
        <w:ind w:right="1560"/>
        <w:rPr>
          <w:rFonts w:ascii="Times New Roman" w:hAnsi="Times New Roman"/>
          <w:color w:val="auto"/>
          <w:spacing w:val="6"/>
          <w:sz w:val="24"/>
          <w:highlight w:val="none"/>
        </w:rPr>
      </w:pPr>
      <w:r>
        <w:rPr>
          <w:rFonts w:ascii="Times New Roman" w:hAnsi="Times New Roman"/>
          <w:color w:val="auto"/>
          <w:spacing w:val="6"/>
          <w:sz w:val="24"/>
          <w:highlight w:val="none"/>
        </w:rPr>
        <w:t>单位名称（盖章）：</w:t>
      </w:r>
    </w:p>
    <w:p>
      <w:pPr>
        <w:spacing w:line="360" w:lineRule="auto"/>
        <w:rPr>
          <w:rFonts w:ascii="Times New Roman" w:hAnsi="Times New Roman"/>
          <w:color w:val="auto"/>
          <w:spacing w:val="6"/>
          <w:sz w:val="24"/>
          <w:highlight w:val="none"/>
        </w:rPr>
      </w:pPr>
      <w:r>
        <w:rPr>
          <w:rFonts w:ascii="Times New Roman" w:hAnsi="Times New Roman"/>
          <w:color w:val="auto"/>
          <w:spacing w:val="6"/>
          <w:sz w:val="24"/>
          <w:highlight w:val="none"/>
        </w:rPr>
        <w:t>日  期：</w:t>
      </w:r>
    </w:p>
    <w:p>
      <w:pPr>
        <w:pStyle w:val="2"/>
        <w:rPr>
          <w:rFonts w:ascii="Times New Roman"/>
          <w:color w:val="auto"/>
          <w:highlight w:val="none"/>
        </w:rPr>
      </w:pPr>
    </w:p>
    <w:p>
      <w:pPr>
        <w:spacing w:line="360" w:lineRule="auto"/>
        <w:rPr>
          <w:rFonts w:ascii="Times New Roman" w:hAnsi="Times New Roman"/>
          <w:color w:val="auto"/>
          <w:sz w:val="24"/>
          <w:highlight w:val="none"/>
        </w:rPr>
      </w:pPr>
      <w:r>
        <w:rPr>
          <w:rFonts w:ascii="Times New Roman" w:hAnsi="Times New Roman"/>
          <w:color w:val="auto"/>
          <w:sz w:val="24"/>
          <w:highlight w:val="none"/>
        </w:rPr>
        <w:t>注：</w:t>
      </w:r>
    </w:p>
    <w:p>
      <w:pPr>
        <w:numPr>
          <w:ilvl w:val="0"/>
          <w:numId w:val="25"/>
        </w:numPr>
        <w:spacing w:line="360" w:lineRule="auto"/>
        <w:rPr>
          <w:rFonts w:ascii="Times New Roman" w:hAnsi="Times New Roman"/>
          <w:color w:val="auto"/>
          <w:sz w:val="24"/>
          <w:highlight w:val="none"/>
        </w:rPr>
      </w:pPr>
      <w:r>
        <w:rPr>
          <w:rFonts w:ascii="Times New Roman" w:hAnsi="Times New Roman"/>
          <w:color w:val="auto"/>
          <w:sz w:val="24"/>
          <w:highlight w:val="none"/>
        </w:rPr>
        <w:t>残疾人福利性单位视同小型、微型企业，享受预留份额、评审中价格扣除等促进中小企业发展的政府采购政策。残疾人福利性单位属于小型、微型企业的，不重复享受政策。</w:t>
      </w:r>
    </w:p>
    <w:p>
      <w:pPr>
        <w:numPr>
          <w:ilvl w:val="0"/>
          <w:numId w:val="25"/>
        </w:numPr>
        <w:spacing w:line="360" w:lineRule="auto"/>
        <w:rPr>
          <w:rFonts w:ascii="Times New Roman" w:hAnsi="Times New Roman"/>
          <w:color w:val="auto"/>
          <w:sz w:val="24"/>
          <w:highlight w:val="none"/>
        </w:rPr>
      </w:pPr>
      <w:r>
        <w:rPr>
          <w:rFonts w:ascii="Times New Roman" w:hAnsi="Times New Roman"/>
          <w:color w:val="auto"/>
          <w:sz w:val="24"/>
          <w:highlight w:val="none"/>
        </w:rPr>
        <w:t>供应商为非残疾人福利性单位的，可不提供此声明。</w:t>
      </w:r>
    </w:p>
    <w:p>
      <w:pPr>
        <w:tabs>
          <w:tab w:val="left" w:pos="900"/>
        </w:tabs>
        <w:spacing w:line="360" w:lineRule="auto"/>
        <w:jc w:val="center"/>
        <w:rPr>
          <w:rFonts w:ascii="Times New Roman" w:hAnsi="Times New Roman"/>
          <w:color w:val="auto"/>
          <w:sz w:val="24"/>
          <w:highlight w:val="none"/>
        </w:rPr>
      </w:pPr>
    </w:p>
    <w:p>
      <w:pPr>
        <w:spacing w:line="360" w:lineRule="auto"/>
        <w:jc w:val="center"/>
        <w:outlineLvl w:val="0"/>
        <w:rPr>
          <w:rFonts w:ascii="Times New Roman" w:hAnsi="Times New Roman"/>
          <w:color w:val="auto"/>
          <w:sz w:val="32"/>
          <w:szCs w:val="32"/>
          <w:highlight w:val="none"/>
        </w:rPr>
      </w:pPr>
      <w:r>
        <w:rPr>
          <w:rFonts w:ascii="Times New Roman" w:hAnsi="Times New Roman"/>
          <w:b/>
          <w:color w:val="auto"/>
          <w:sz w:val="32"/>
          <w:szCs w:val="32"/>
          <w:highlight w:val="none"/>
        </w:rPr>
        <w:br w:type="page"/>
      </w:r>
      <w:bookmarkEnd w:id="89"/>
      <w:bookmarkStart w:id="158" w:name="_Toc14848"/>
      <w:r>
        <w:rPr>
          <w:rFonts w:ascii="Times New Roman" w:hAnsi="Times New Roman" w:eastAsia="黑体"/>
          <w:bCs/>
          <w:color w:val="auto"/>
          <w:sz w:val="32"/>
          <w:szCs w:val="32"/>
          <w:highlight w:val="none"/>
        </w:rPr>
        <w:t>第六章 评审方法</w:t>
      </w:r>
      <w:bookmarkEnd w:id="158"/>
    </w:p>
    <w:p>
      <w:pPr>
        <w:adjustRightInd w:val="0"/>
        <w:snapToGrid w:val="0"/>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1. 总则</w:t>
      </w:r>
    </w:p>
    <w:p>
      <w:pPr>
        <w:adjustRightInd w:val="0"/>
        <w:snapToGrid w:val="0"/>
        <w:spacing w:line="360" w:lineRule="auto"/>
        <w:ind w:firstLine="480" w:firstLineChars="200"/>
        <w:rPr>
          <w:rFonts w:ascii="Times New Roman" w:hAnsi="Times New Roman"/>
          <w:color w:val="auto"/>
          <w:sz w:val="24"/>
          <w:szCs w:val="24"/>
          <w:highlight w:val="none"/>
        </w:rPr>
      </w:pPr>
      <w:bookmarkStart w:id="159" w:name="_Toc3298177"/>
      <w:r>
        <w:rPr>
          <w:rFonts w:ascii="Times New Roman" w:hAnsi="Times New Roman"/>
          <w:color w:val="auto"/>
          <w:sz w:val="24"/>
          <w:szCs w:val="24"/>
          <w:highlight w:val="none"/>
        </w:rPr>
        <w:t>1.1 根据《中华人民共和国政府采购法》、《中华人民共和国政府采购法实施条例》、《政府采购竞争性磋商采购方式管理暂行办法》等法律制度，结合本采购项目特点制定本磋商方法。</w:t>
      </w:r>
      <w:bookmarkEnd w:id="159"/>
    </w:p>
    <w:p>
      <w:pPr>
        <w:adjustRightInd w:val="0"/>
        <w:snapToGrid w:val="0"/>
        <w:spacing w:line="360" w:lineRule="auto"/>
        <w:ind w:firstLine="480" w:firstLineChars="200"/>
        <w:rPr>
          <w:rFonts w:ascii="Times New Roman" w:hAnsi="Times New Roman"/>
          <w:color w:val="auto"/>
          <w:sz w:val="24"/>
          <w:szCs w:val="24"/>
          <w:highlight w:val="none"/>
        </w:rPr>
      </w:pPr>
      <w:bookmarkStart w:id="160" w:name="_Toc3298178"/>
      <w:r>
        <w:rPr>
          <w:rFonts w:ascii="Times New Roman" w:hAnsi="Times New Roman"/>
          <w:color w:val="auto"/>
          <w:sz w:val="24"/>
          <w:szCs w:val="24"/>
          <w:highlight w:val="none"/>
        </w:rPr>
        <w:t>1.2 磋商工作由采购代理机构负责组织，具体磋商由</w:t>
      </w:r>
      <w:r>
        <w:rPr>
          <w:rFonts w:hint="eastAsia" w:ascii="Times New Roman" w:hAnsi="Times New Roman"/>
          <w:color w:val="auto"/>
          <w:sz w:val="24"/>
          <w:szCs w:val="24"/>
          <w:highlight w:val="none"/>
          <w:lang w:eastAsia="zh-CN"/>
        </w:rPr>
        <w:t>采购人</w:t>
      </w:r>
      <w:r>
        <w:rPr>
          <w:rFonts w:ascii="Times New Roman" w:hAnsi="Times New Roman"/>
          <w:color w:val="auto"/>
          <w:sz w:val="24"/>
          <w:szCs w:val="24"/>
          <w:highlight w:val="none"/>
        </w:rPr>
        <w:t>依法组建的磋商小组负责。</w:t>
      </w:r>
      <w:bookmarkEnd w:id="160"/>
    </w:p>
    <w:p>
      <w:pPr>
        <w:adjustRightInd w:val="0"/>
        <w:snapToGrid w:val="0"/>
        <w:spacing w:line="360" w:lineRule="auto"/>
        <w:ind w:firstLine="480" w:firstLineChars="200"/>
        <w:rPr>
          <w:rFonts w:ascii="Times New Roman" w:hAnsi="Times New Roman"/>
          <w:color w:val="auto"/>
          <w:sz w:val="24"/>
          <w:szCs w:val="24"/>
          <w:highlight w:val="none"/>
        </w:rPr>
      </w:pPr>
      <w:bookmarkStart w:id="161" w:name="_Toc3298179"/>
      <w:r>
        <w:rPr>
          <w:rFonts w:ascii="Times New Roman" w:hAnsi="Times New Roman"/>
          <w:color w:val="auto"/>
          <w:sz w:val="24"/>
          <w:szCs w:val="24"/>
          <w:highlight w:val="none"/>
        </w:rPr>
        <w:t>1.3 磋商工作应遵循公平、公正、科学及择优的原则，并以相同的磋商程序和标准对待所有的供应商。</w:t>
      </w:r>
      <w:bookmarkEnd w:id="161"/>
    </w:p>
    <w:p>
      <w:pPr>
        <w:adjustRightInd w:val="0"/>
        <w:snapToGrid w:val="0"/>
        <w:spacing w:line="360" w:lineRule="auto"/>
        <w:ind w:firstLine="480" w:firstLineChars="200"/>
        <w:rPr>
          <w:rFonts w:ascii="Times New Roman" w:hAnsi="Times New Roman"/>
          <w:color w:val="auto"/>
          <w:sz w:val="24"/>
          <w:szCs w:val="24"/>
          <w:highlight w:val="none"/>
        </w:rPr>
      </w:pPr>
      <w:bookmarkStart w:id="162" w:name="_Toc3298180"/>
      <w:r>
        <w:rPr>
          <w:rFonts w:ascii="Times New Roman" w:hAnsi="Times New Roman"/>
          <w:color w:val="auto"/>
          <w:sz w:val="24"/>
          <w:szCs w:val="24"/>
          <w:highlight w:val="none"/>
        </w:rPr>
        <w:t>1.4 磋商小组按照磋商文件规定的磋商程序、评分方法和标准进行评审，并独立履行下列职责：</w:t>
      </w:r>
      <w:bookmarkEnd w:id="162"/>
    </w:p>
    <w:p>
      <w:pPr>
        <w:adjustRightInd w:val="0"/>
        <w:snapToGrid w:val="0"/>
        <w:spacing w:line="360" w:lineRule="auto"/>
        <w:ind w:firstLine="480" w:firstLineChars="200"/>
        <w:rPr>
          <w:rFonts w:ascii="Times New Roman" w:hAnsi="Times New Roman"/>
          <w:color w:val="auto"/>
          <w:sz w:val="24"/>
          <w:szCs w:val="24"/>
          <w:highlight w:val="none"/>
        </w:rPr>
      </w:pPr>
      <w:bookmarkStart w:id="163" w:name="_Toc3298181"/>
      <w:r>
        <w:rPr>
          <w:rFonts w:ascii="Times New Roman" w:hAnsi="Times New Roman"/>
          <w:color w:val="auto"/>
          <w:sz w:val="24"/>
          <w:szCs w:val="24"/>
          <w:highlight w:val="none"/>
        </w:rPr>
        <w:t>（1）熟悉和理解磋商文件；</w:t>
      </w:r>
      <w:bookmarkEnd w:id="163"/>
    </w:p>
    <w:p>
      <w:pPr>
        <w:adjustRightInd w:val="0"/>
        <w:snapToGrid w:val="0"/>
        <w:spacing w:line="360" w:lineRule="auto"/>
        <w:ind w:firstLine="480" w:firstLineChars="200"/>
        <w:rPr>
          <w:rFonts w:ascii="Times New Roman" w:hAnsi="Times New Roman"/>
          <w:color w:val="auto"/>
          <w:sz w:val="24"/>
          <w:szCs w:val="24"/>
          <w:highlight w:val="none"/>
        </w:rPr>
      </w:pPr>
      <w:bookmarkStart w:id="164" w:name="_Toc3298182"/>
      <w:r>
        <w:rPr>
          <w:rFonts w:ascii="Times New Roman" w:hAnsi="Times New Roman"/>
          <w:color w:val="auto"/>
          <w:sz w:val="24"/>
          <w:szCs w:val="24"/>
          <w:highlight w:val="none"/>
        </w:rPr>
        <w:t>（2）审查供应商响应文件是否满足磋商文件要求，并作出公正评价；</w:t>
      </w:r>
      <w:bookmarkEnd w:id="164"/>
    </w:p>
    <w:p>
      <w:pPr>
        <w:adjustRightInd w:val="0"/>
        <w:snapToGrid w:val="0"/>
        <w:spacing w:line="360" w:lineRule="auto"/>
        <w:ind w:firstLine="480" w:firstLineChars="200"/>
        <w:rPr>
          <w:rFonts w:ascii="Times New Roman" w:hAnsi="Times New Roman"/>
          <w:color w:val="auto"/>
          <w:sz w:val="24"/>
          <w:szCs w:val="24"/>
          <w:highlight w:val="none"/>
        </w:rPr>
      </w:pPr>
      <w:bookmarkStart w:id="165" w:name="_Toc3298183"/>
      <w:r>
        <w:rPr>
          <w:rFonts w:ascii="Times New Roman" w:hAnsi="Times New Roman"/>
          <w:color w:val="auto"/>
          <w:sz w:val="24"/>
          <w:szCs w:val="24"/>
          <w:highlight w:val="none"/>
        </w:rPr>
        <w:t>（3）根据需要要求供应商对响应文件中含义不明确、同类问题表述不一致或者有明显文字和计算错误的内容等作出必要的澄清、说明或者更正；</w:t>
      </w:r>
      <w:bookmarkEnd w:id="165"/>
    </w:p>
    <w:p>
      <w:pPr>
        <w:adjustRightInd w:val="0"/>
        <w:snapToGrid w:val="0"/>
        <w:spacing w:line="360" w:lineRule="auto"/>
        <w:ind w:firstLine="480" w:firstLineChars="200"/>
        <w:rPr>
          <w:rFonts w:ascii="Times New Roman" w:hAnsi="Times New Roman"/>
          <w:color w:val="auto"/>
          <w:sz w:val="24"/>
          <w:szCs w:val="24"/>
          <w:highlight w:val="none"/>
        </w:rPr>
      </w:pPr>
      <w:bookmarkStart w:id="166" w:name="_Toc3298184"/>
      <w:r>
        <w:rPr>
          <w:rFonts w:ascii="Times New Roman" w:hAnsi="Times New Roman"/>
          <w:color w:val="auto"/>
          <w:sz w:val="24"/>
          <w:szCs w:val="24"/>
          <w:highlight w:val="none"/>
        </w:rPr>
        <w:t>（4）推荐成交供应商，或者受采购人委托确定成交供应商；</w:t>
      </w:r>
      <w:bookmarkEnd w:id="166"/>
    </w:p>
    <w:p>
      <w:pPr>
        <w:adjustRightInd w:val="0"/>
        <w:snapToGrid w:val="0"/>
        <w:spacing w:line="360" w:lineRule="auto"/>
        <w:ind w:firstLine="480" w:firstLineChars="200"/>
        <w:rPr>
          <w:rFonts w:ascii="Times New Roman" w:hAnsi="Times New Roman"/>
          <w:color w:val="auto"/>
          <w:sz w:val="24"/>
          <w:szCs w:val="24"/>
          <w:highlight w:val="none"/>
        </w:rPr>
      </w:pPr>
      <w:bookmarkStart w:id="167" w:name="_Toc3298185"/>
      <w:r>
        <w:rPr>
          <w:rFonts w:ascii="Times New Roman" w:hAnsi="Times New Roman"/>
          <w:color w:val="auto"/>
          <w:sz w:val="24"/>
          <w:szCs w:val="24"/>
          <w:highlight w:val="none"/>
        </w:rPr>
        <w:t>（5）起草评审报告并进行签署；</w:t>
      </w:r>
      <w:bookmarkEnd w:id="167"/>
    </w:p>
    <w:p>
      <w:pPr>
        <w:adjustRightInd w:val="0"/>
        <w:snapToGrid w:val="0"/>
        <w:spacing w:line="360" w:lineRule="auto"/>
        <w:ind w:firstLine="480" w:firstLineChars="200"/>
        <w:rPr>
          <w:rFonts w:ascii="Times New Roman" w:hAnsi="Times New Roman"/>
          <w:color w:val="auto"/>
          <w:sz w:val="24"/>
          <w:szCs w:val="24"/>
          <w:highlight w:val="none"/>
        </w:rPr>
      </w:pPr>
      <w:bookmarkStart w:id="168" w:name="_Toc3298186"/>
      <w:r>
        <w:rPr>
          <w:rFonts w:ascii="Times New Roman" w:hAnsi="Times New Roman"/>
          <w:color w:val="auto"/>
          <w:sz w:val="24"/>
          <w:szCs w:val="24"/>
          <w:highlight w:val="none"/>
        </w:rPr>
        <w:t>（6）向采购代理机构、财政部门或者其他监督部门报告非法干预评审工作的行为；</w:t>
      </w:r>
      <w:bookmarkEnd w:id="168"/>
    </w:p>
    <w:p>
      <w:pPr>
        <w:adjustRightInd w:val="0"/>
        <w:snapToGrid w:val="0"/>
        <w:spacing w:line="360" w:lineRule="auto"/>
        <w:ind w:firstLine="480" w:firstLineChars="200"/>
        <w:rPr>
          <w:rFonts w:ascii="Times New Roman" w:hAnsi="Times New Roman"/>
          <w:color w:val="auto"/>
          <w:sz w:val="24"/>
          <w:szCs w:val="24"/>
          <w:highlight w:val="none"/>
        </w:rPr>
      </w:pPr>
      <w:bookmarkStart w:id="169" w:name="_Toc3298187"/>
      <w:r>
        <w:rPr>
          <w:rFonts w:ascii="Times New Roman" w:hAnsi="Times New Roman"/>
          <w:color w:val="auto"/>
          <w:sz w:val="24"/>
          <w:szCs w:val="24"/>
          <w:highlight w:val="none"/>
        </w:rPr>
        <w:t>（7）法律、法规和规章规定的其他职责。</w:t>
      </w:r>
      <w:bookmarkEnd w:id="169"/>
    </w:p>
    <w:p>
      <w:pPr>
        <w:adjustRightInd w:val="0"/>
        <w:snapToGrid w:val="0"/>
        <w:spacing w:line="360" w:lineRule="auto"/>
        <w:ind w:firstLine="480" w:firstLineChars="200"/>
        <w:rPr>
          <w:rFonts w:ascii="Times New Roman" w:hAnsi="Times New Roman"/>
          <w:color w:val="auto"/>
          <w:sz w:val="24"/>
          <w:szCs w:val="24"/>
          <w:highlight w:val="none"/>
        </w:rPr>
      </w:pPr>
      <w:bookmarkStart w:id="170" w:name="_Toc3298188"/>
      <w:r>
        <w:rPr>
          <w:rFonts w:ascii="Times New Roman" w:hAnsi="Times New Roman"/>
          <w:color w:val="auto"/>
          <w:sz w:val="24"/>
          <w:szCs w:val="24"/>
          <w:highlight w:val="none"/>
        </w:rPr>
        <w:t>1.5 磋商过程独立、保密。供应商非法干预磋商过程的，其响应文件作无效处理。</w:t>
      </w:r>
      <w:bookmarkEnd w:id="170"/>
    </w:p>
    <w:p>
      <w:pPr>
        <w:adjustRightInd w:val="0"/>
        <w:snapToGrid w:val="0"/>
        <w:spacing w:line="360" w:lineRule="auto"/>
        <w:ind w:firstLine="482" w:firstLineChars="200"/>
        <w:rPr>
          <w:rFonts w:ascii="Times New Roman" w:hAnsi="Times New Roman"/>
          <w:b/>
          <w:bCs/>
          <w:color w:val="auto"/>
          <w:sz w:val="24"/>
          <w:szCs w:val="24"/>
          <w:highlight w:val="none"/>
        </w:rPr>
      </w:pPr>
      <w:bookmarkStart w:id="171" w:name="_Toc3298189"/>
      <w:r>
        <w:rPr>
          <w:rFonts w:ascii="Times New Roman" w:hAnsi="Times New Roman"/>
          <w:b/>
          <w:bCs/>
          <w:color w:val="auto"/>
          <w:sz w:val="24"/>
          <w:szCs w:val="24"/>
          <w:highlight w:val="none"/>
        </w:rPr>
        <w:t>2.磋商程序</w:t>
      </w:r>
      <w:bookmarkEnd w:id="171"/>
    </w:p>
    <w:p>
      <w:pPr>
        <w:adjustRightInd w:val="0"/>
        <w:snapToGrid w:val="0"/>
        <w:spacing w:line="360" w:lineRule="auto"/>
        <w:ind w:firstLine="480" w:firstLineChars="200"/>
        <w:rPr>
          <w:rFonts w:ascii="Times New Roman" w:hAnsi="Times New Roman"/>
          <w:color w:val="auto"/>
          <w:sz w:val="24"/>
          <w:szCs w:val="24"/>
          <w:highlight w:val="none"/>
        </w:rPr>
      </w:pPr>
      <w:bookmarkStart w:id="172" w:name="_Toc3298190"/>
      <w:r>
        <w:rPr>
          <w:rFonts w:ascii="Times New Roman" w:hAnsi="Times New Roman"/>
          <w:color w:val="auto"/>
          <w:sz w:val="24"/>
          <w:szCs w:val="24"/>
          <w:highlight w:val="none"/>
        </w:rPr>
        <w:t>2.1审查磋商文件。</w:t>
      </w:r>
      <w:bookmarkEnd w:id="172"/>
    </w:p>
    <w:p>
      <w:pPr>
        <w:adjustRightInd w:val="0"/>
        <w:snapToGrid w:val="0"/>
        <w:spacing w:line="360" w:lineRule="auto"/>
        <w:ind w:firstLine="480" w:firstLineChars="200"/>
        <w:rPr>
          <w:rFonts w:ascii="Times New Roman" w:hAnsi="Times New Roman"/>
          <w:color w:val="auto"/>
          <w:sz w:val="24"/>
          <w:szCs w:val="24"/>
          <w:highlight w:val="none"/>
        </w:rPr>
      </w:pPr>
      <w:bookmarkStart w:id="173" w:name="_Toc3298191"/>
      <w:r>
        <w:rPr>
          <w:rFonts w:ascii="Times New Roman" w:hAnsi="Times New Roman"/>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bookmarkEnd w:id="173"/>
    </w:p>
    <w:p>
      <w:pPr>
        <w:adjustRightInd w:val="0"/>
        <w:snapToGrid w:val="0"/>
        <w:spacing w:line="360" w:lineRule="auto"/>
        <w:ind w:firstLine="480" w:firstLineChars="200"/>
        <w:rPr>
          <w:rFonts w:ascii="Times New Roman" w:hAnsi="Times New Roman"/>
          <w:color w:val="auto"/>
          <w:sz w:val="24"/>
          <w:szCs w:val="24"/>
          <w:highlight w:val="none"/>
        </w:rPr>
      </w:pPr>
      <w:bookmarkStart w:id="174" w:name="_Toc3298201"/>
      <w:r>
        <w:rPr>
          <w:rFonts w:ascii="Times New Roman" w:hAnsi="Times New Roman"/>
          <w:color w:val="auto"/>
          <w:sz w:val="24"/>
          <w:szCs w:val="24"/>
          <w:highlight w:val="none"/>
        </w:rPr>
        <w:t>2.2资格性审查和符合性审查。</w:t>
      </w:r>
      <w:bookmarkEnd w:id="174"/>
    </w:p>
    <w:p>
      <w:pPr>
        <w:adjustRightInd w:val="0"/>
        <w:snapToGrid w:val="0"/>
        <w:spacing w:line="360" w:lineRule="auto"/>
        <w:ind w:firstLine="480" w:firstLineChars="200"/>
        <w:rPr>
          <w:rFonts w:ascii="Times New Roman" w:hAnsi="Times New Roman"/>
          <w:color w:val="auto"/>
          <w:sz w:val="24"/>
          <w:szCs w:val="24"/>
          <w:highlight w:val="none"/>
        </w:rPr>
      </w:pPr>
      <w:bookmarkStart w:id="175" w:name="_Toc3298202"/>
      <w:r>
        <w:rPr>
          <w:rFonts w:ascii="Times New Roman" w:hAnsi="Times New Roman"/>
          <w:color w:val="auto"/>
          <w:sz w:val="24"/>
          <w:szCs w:val="24"/>
          <w:highlight w:val="none"/>
        </w:rPr>
        <w:t>2.2.1本项目需要磋商小组进行资格性检查和符合性审查。</w:t>
      </w:r>
      <w:bookmarkEnd w:id="175"/>
    </w:p>
    <w:p>
      <w:pPr>
        <w:adjustRightInd w:val="0"/>
        <w:snapToGrid w:val="0"/>
        <w:spacing w:line="360" w:lineRule="auto"/>
        <w:ind w:firstLine="480" w:firstLineChars="200"/>
        <w:rPr>
          <w:rFonts w:ascii="Times New Roman" w:hAnsi="Times New Roman"/>
          <w:color w:val="auto"/>
          <w:sz w:val="24"/>
          <w:szCs w:val="24"/>
          <w:highlight w:val="none"/>
        </w:rPr>
      </w:pPr>
      <w:bookmarkStart w:id="176" w:name="_Toc3298203"/>
      <w:r>
        <w:rPr>
          <w:rFonts w:ascii="Times New Roman" w:hAnsi="Times New Roman"/>
          <w:color w:val="auto"/>
          <w:sz w:val="24"/>
          <w:szCs w:val="24"/>
          <w:highlight w:val="none"/>
        </w:rPr>
        <w:t>磋商小组应依据法律法规和磋商文件的规定，对响应文件是否按照规定要求提供资格性证明材料、是否属于禁止参加磋商的供应商等进行审查、是否按照规定交纳磋商保证金、法律法规规定的其他资格条件和符合性审查内容，以确定供应商是否具备磋商资格。</w:t>
      </w:r>
      <w:bookmarkEnd w:id="176"/>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w:t>
      </w:r>
      <w:r>
        <w:rPr>
          <w:rFonts w:hint="eastAsia" w:ascii="Times New Roman" w:hAnsi="Times New Roman"/>
          <w:color w:val="auto"/>
          <w:sz w:val="24"/>
          <w:szCs w:val="24"/>
          <w:highlight w:val="none"/>
        </w:rPr>
        <w:t>2资格</w:t>
      </w:r>
      <w:r>
        <w:rPr>
          <w:rFonts w:ascii="Times New Roman" w:hAnsi="Times New Roman"/>
          <w:color w:val="auto"/>
          <w:sz w:val="24"/>
          <w:szCs w:val="24"/>
          <w:highlight w:val="none"/>
        </w:rPr>
        <w:t>性审查</w:t>
      </w:r>
      <w:r>
        <w:rPr>
          <w:rFonts w:hint="eastAsia" w:ascii="Times New Roman" w:hAnsi="Times New Roman"/>
          <w:color w:val="auto"/>
          <w:sz w:val="24"/>
          <w:szCs w:val="24"/>
          <w:highlight w:val="none"/>
        </w:rPr>
        <w:t>内容：见采购文件第三章</w:t>
      </w:r>
      <w:r>
        <w:rPr>
          <w:rFonts w:ascii="Times New Roman" w:hAnsi="Times New Roman"/>
          <w:color w:val="auto"/>
          <w:sz w:val="24"/>
          <w:szCs w:val="24"/>
          <w:highlight w:val="none"/>
        </w:rPr>
        <w:t>。</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w:t>
      </w:r>
      <w:r>
        <w:rPr>
          <w:rFonts w:hint="eastAsia" w:ascii="Times New Roman" w:hAnsi="Times New Roman"/>
          <w:color w:val="auto"/>
          <w:sz w:val="24"/>
          <w:szCs w:val="24"/>
          <w:highlight w:val="none"/>
        </w:rPr>
        <w:t>3</w:t>
      </w:r>
      <w:r>
        <w:rPr>
          <w:rFonts w:ascii="Times New Roman" w:hAnsi="Times New Roman"/>
          <w:color w:val="auto"/>
          <w:sz w:val="24"/>
          <w:szCs w:val="24"/>
          <w:highlight w:val="none"/>
        </w:rPr>
        <w:t>符合性审查</w:t>
      </w:r>
      <w:r>
        <w:rPr>
          <w:rFonts w:hint="eastAsia" w:ascii="Times New Roman" w:hAnsi="Times New Roman"/>
          <w:color w:val="auto"/>
          <w:sz w:val="24"/>
          <w:szCs w:val="24"/>
          <w:highlight w:val="none"/>
        </w:rPr>
        <w:t>内容</w:t>
      </w:r>
      <w:r>
        <w:rPr>
          <w:rFonts w:ascii="Times New Roman" w:hAnsi="Times New Roman"/>
          <w:color w:val="auto"/>
          <w:sz w:val="24"/>
          <w:szCs w:val="24"/>
          <w:highlight w:val="none"/>
        </w:rPr>
        <w:t>。</w:t>
      </w:r>
    </w:p>
    <w:tbl>
      <w:tblPr>
        <w:tblStyle w:val="46"/>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6" w:type="dxa"/>
          </w:tcPr>
          <w:p>
            <w:pPr>
              <w:jc w:val="center"/>
              <w:rPr>
                <w:rFonts w:ascii="Arial" w:hAnsi="Arial" w:cs="Arial"/>
                <w:b/>
                <w:color w:val="auto"/>
                <w:sz w:val="24"/>
                <w:highlight w:val="none"/>
              </w:rPr>
            </w:pPr>
            <w:bookmarkStart w:id="177" w:name="_Toc3298204"/>
            <w:r>
              <w:rPr>
                <w:rFonts w:hint="eastAsia" w:ascii="Arial" w:hAnsi="Arial" w:cs="Arial"/>
                <w:b/>
                <w:color w:val="auto"/>
                <w:sz w:val="24"/>
                <w:highlight w:val="none"/>
              </w:rPr>
              <w:t>符合性审查内容</w:t>
            </w:r>
          </w:p>
        </w:tc>
        <w:tc>
          <w:tcPr>
            <w:tcW w:w="5621" w:type="dxa"/>
          </w:tcPr>
          <w:p>
            <w:pPr>
              <w:jc w:val="center"/>
              <w:rPr>
                <w:rFonts w:ascii="Arial" w:hAnsi="Arial" w:cs="Arial"/>
                <w:b/>
                <w:color w:val="auto"/>
                <w:sz w:val="24"/>
                <w:highlight w:val="none"/>
              </w:rPr>
            </w:pPr>
            <w:r>
              <w:rPr>
                <w:rFonts w:hint="eastAsia" w:ascii="Arial" w:hAnsi="Arial" w:cs="Arial"/>
                <w:b/>
                <w:color w:val="auto"/>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6" w:type="dxa"/>
            <w:vAlign w:val="center"/>
          </w:tcPr>
          <w:p>
            <w:pPr>
              <w:jc w:val="center"/>
              <w:rPr>
                <w:color w:val="auto"/>
                <w:sz w:val="24"/>
                <w:highlight w:val="none"/>
              </w:rPr>
            </w:pPr>
            <w:r>
              <w:rPr>
                <w:rFonts w:hint="eastAsia"/>
                <w:color w:val="auto"/>
                <w:sz w:val="24"/>
                <w:highlight w:val="none"/>
              </w:rPr>
              <w:t>响应有效期</w:t>
            </w:r>
          </w:p>
        </w:tc>
        <w:tc>
          <w:tcPr>
            <w:tcW w:w="5621" w:type="dxa"/>
            <w:vAlign w:val="center"/>
          </w:tcPr>
          <w:p>
            <w:pPr>
              <w:jc w:val="center"/>
              <w:rPr>
                <w:color w:val="auto"/>
                <w:sz w:val="24"/>
                <w:highlight w:val="none"/>
              </w:rPr>
            </w:pPr>
            <w:r>
              <w:rPr>
                <w:rFonts w:hint="eastAsia"/>
                <w:color w:val="auto"/>
                <w:sz w:val="24"/>
                <w:highlight w:val="none"/>
              </w:rPr>
              <w:t>响应</w:t>
            </w:r>
            <w:r>
              <w:rPr>
                <w:color w:val="auto"/>
                <w:sz w:val="24"/>
                <w:highlight w:val="none"/>
              </w:rPr>
              <w:t>有效期</w:t>
            </w:r>
            <w:r>
              <w:rPr>
                <w:rFonts w:hint="eastAsia"/>
                <w:color w:val="auto"/>
                <w:sz w:val="24"/>
                <w:highlight w:val="none"/>
              </w:rPr>
              <w:t>满足采购文件要求。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6" w:type="dxa"/>
            <w:vAlign w:val="center"/>
          </w:tcPr>
          <w:p>
            <w:pPr>
              <w:jc w:val="center"/>
              <w:rPr>
                <w:color w:val="auto"/>
                <w:sz w:val="24"/>
                <w:highlight w:val="none"/>
              </w:rPr>
            </w:pPr>
            <w:r>
              <w:rPr>
                <w:rFonts w:hint="eastAsia"/>
                <w:color w:val="auto"/>
                <w:sz w:val="24"/>
                <w:highlight w:val="none"/>
              </w:rPr>
              <w:t>响应文件是否按照采购文件要求签署、盖章</w:t>
            </w:r>
          </w:p>
        </w:tc>
        <w:tc>
          <w:tcPr>
            <w:tcW w:w="5621" w:type="dxa"/>
            <w:vAlign w:val="center"/>
          </w:tcPr>
          <w:p>
            <w:pPr>
              <w:jc w:val="center"/>
              <w:rPr>
                <w:color w:val="auto"/>
                <w:sz w:val="24"/>
                <w:highlight w:val="none"/>
              </w:rPr>
            </w:pPr>
            <w:r>
              <w:rPr>
                <w:rFonts w:hint="eastAsia"/>
                <w:color w:val="auto"/>
                <w:sz w:val="24"/>
                <w:highlight w:val="none"/>
              </w:rPr>
              <w:t>响应</w:t>
            </w:r>
            <w:r>
              <w:rPr>
                <w:color w:val="auto"/>
                <w:sz w:val="24"/>
                <w:highlight w:val="none"/>
              </w:rPr>
              <w:t>文件按</w:t>
            </w:r>
            <w:r>
              <w:rPr>
                <w:rFonts w:hint="eastAsia"/>
                <w:color w:val="auto"/>
                <w:sz w:val="24"/>
                <w:highlight w:val="none"/>
              </w:rPr>
              <w:t>采购文件</w:t>
            </w:r>
            <w:r>
              <w:rPr>
                <w:color w:val="auto"/>
                <w:sz w:val="24"/>
                <w:highlight w:val="none"/>
              </w:rPr>
              <w:t>要求签署、盖章</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6" w:type="dxa"/>
            <w:vAlign w:val="center"/>
          </w:tcPr>
          <w:p>
            <w:pPr>
              <w:jc w:val="center"/>
              <w:rPr>
                <w:color w:val="auto"/>
                <w:sz w:val="24"/>
                <w:highlight w:val="none"/>
              </w:rPr>
            </w:pPr>
            <w:r>
              <w:rPr>
                <w:rFonts w:hint="eastAsia"/>
                <w:color w:val="auto"/>
                <w:sz w:val="24"/>
                <w:highlight w:val="none"/>
              </w:rPr>
              <w:t>报价是否超过采购文件中规定的预算金额或者最高限价</w:t>
            </w:r>
          </w:p>
        </w:tc>
        <w:tc>
          <w:tcPr>
            <w:tcW w:w="5621" w:type="dxa"/>
            <w:vAlign w:val="center"/>
          </w:tcPr>
          <w:p>
            <w:pPr>
              <w:jc w:val="center"/>
              <w:rPr>
                <w:color w:val="auto"/>
                <w:sz w:val="24"/>
                <w:highlight w:val="none"/>
              </w:rPr>
            </w:pPr>
            <w:r>
              <w:rPr>
                <w:color w:val="auto"/>
                <w:sz w:val="24"/>
                <w:highlight w:val="none"/>
              </w:rPr>
              <w:t>报价</w:t>
            </w:r>
            <w:r>
              <w:rPr>
                <w:rFonts w:hint="eastAsia"/>
                <w:color w:val="auto"/>
                <w:sz w:val="24"/>
                <w:highlight w:val="none"/>
              </w:rPr>
              <w:t>不</w:t>
            </w:r>
            <w:r>
              <w:rPr>
                <w:color w:val="auto"/>
                <w:sz w:val="24"/>
                <w:highlight w:val="none"/>
              </w:rPr>
              <w:t>超过</w:t>
            </w:r>
            <w:r>
              <w:rPr>
                <w:rFonts w:hint="eastAsia"/>
                <w:color w:val="auto"/>
                <w:sz w:val="24"/>
                <w:highlight w:val="none"/>
              </w:rPr>
              <w:t>采购文件</w:t>
            </w:r>
            <w:r>
              <w:rPr>
                <w:color w:val="auto"/>
                <w:sz w:val="24"/>
                <w:highlight w:val="none"/>
              </w:rPr>
              <w:t>中规定的预算金额或者最高限价</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6" w:type="dxa"/>
            <w:vAlign w:val="center"/>
          </w:tcPr>
          <w:p>
            <w:pPr>
              <w:jc w:val="center"/>
              <w:rPr>
                <w:color w:val="auto"/>
                <w:sz w:val="24"/>
                <w:highlight w:val="none"/>
              </w:rPr>
            </w:pPr>
            <w:r>
              <w:rPr>
                <w:rFonts w:hint="eastAsia"/>
                <w:color w:val="auto"/>
                <w:sz w:val="24"/>
                <w:highlight w:val="none"/>
              </w:rPr>
              <w:t>响应文件是否满足采购文件中加注“★”或“实质性要求”的条款。</w:t>
            </w:r>
          </w:p>
        </w:tc>
        <w:tc>
          <w:tcPr>
            <w:tcW w:w="5621" w:type="dxa"/>
            <w:vAlign w:val="center"/>
          </w:tcPr>
          <w:p>
            <w:pPr>
              <w:jc w:val="center"/>
              <w:rPr>
                <w:color w:val="auto"/>
                <w:sz w:val="24"/>
                <w:highlight w:val="none"/>
              </w:rPr>
            </w:pPr>
            <w:r>
              <w:rPr>
                <w:rFonts w:hint="eastAsia"/>
                <w:color w:val="auto"/>
                <w:sz w:val="24"/>
                <w:highlight w:val="none"/>
              </w:rPr>
              <w:t>采购文件</w:t>
            </w:r>
            <w:r>
              <w:rPr>
                <w:color w:val="auto"/>
                <w:sz w:val="24"/>
                <w:highlight w:val="none"/>
              </w:rPr>
              <w:t>中标注“</w:t>
            </w:r>
            <w:r>
              <w:rPr>
                <w:rFonts w:hint="eastAsia"/>
                <w:color w:val="auto"/>
                <w:sz w:val="24"/>
                <w:highlight w:val="none"/>
              </w:rPr>
              <w:t>★</w:t>
            </w:r>
            <w:r>
              <w:rPr>
                <w:color w:val="auto"/>
                <w:sz w:val="24"/>
                <w:highlight w:val="none"/>
              </w:rPr>
              <w:t>”或“实质性要求”的为关键条款，对关键条款的任何负偏离或不响应将导致</w:t>
            </w:r>
            <w:r>
              <w:rPr>
                <w:rFonts w:hint="eastAsia"/>
                <w:color w:val="auto"/>
                <w:sz w:val="24"/>
                <w:highlight w:val="none"/>
              </w:rPr>
              <w:t>响应</w:t>
            </w:r>
            <w:r>
              <w:rPr>
                <w:color w:val="auto"/>
                <w:sz w:val="24"/>
                <w:highlight w:val="none"/>
              </w:rPr>
              <w:t>无效</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6" w:type="dxa"/>
            <w:vAlign w:val="center"/>
          </w:tcPr>
          <w:p>
            <w:pPr>
              <w:jc w:val="center"/>
              <w:rPr>
                <w:color w:val="auto"/>
                <w:sz w:val="24"/>
                <w:highlight w:val="none"/>
              </w:rPr>
            </w:pPr>
            <w:r>
              <w:rPr>
                <w:rFonts w:hint="eastAsia"/>
                <w:color w:val="auto"/>
                <w:sz w:val="24"/>
                <w:highlight w:val="none"/>
              </w:rPr>
              <w:t>响应文件是否存在不符合法律、法规和采购文件中规定的其他响应无效情形。</w:t>
            </w:r>
          </w:p>
        </w:tc>
        <w:tc>
          <w:tcPr>
            <w:tcW w:w="5621" w:type="dxa"/>
            <w:vAlign w:val="center"/>
          </w:tcPr>
          <w:p>
            <w:pPr>
              <w:jc w:val="center"/>
              <w:rPr>
                <w:color w:val="auto"/>
                <w:sz w:val="24"/>
                <w:highlight w:val="none"/>
              </w:rPr>
            </w:pPr>
            <w:r>
              <w:rPr>
                <w:rFonts w:hint="eastAsia"/>
                <w:color w:val="auto"/>
                <w:sz w:val="24"/>
                <w:highlight w:val="none"/>
              </w:rPr>
              <w:t>响应文件不存在不符合法律、法规和采购文件中规定的其他响应无效情形。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6" w:type="dxa"/>
            <w:vAlign w:val="center"/>
          </w:tcPr>
          <w:p>
            <w:pPr>
              <w:jc w:val="center"/>
              <w:rPr>
                <w:color w:val="auto"/>
                <w:sz w:val="24"/>
                <w:highlight w:val="none"/>
              </w:rPr>
            </w:pPr>
            <w:r>
              <w:rPr>
                <w:rFonts w:hint="eastAsia"/>
                <w:color w:val="auto"/>
                <w:sz w:val="24"/>
                <w:highlight w:val="none"/>
              </w:rPr>
              <w:t>响应文件是否含有采购人不能接受的附加条件</w:t>
            </w:r>
          </w:p>
        </w:tc>
        <w:tc>
          <w:tcPr>
            <w:tcW w:w="5621" w:type="dxa"/>
            <w:vAlign w:val="center"/>
          </w:tcPr>
          <w:p>
            <w:pPr>
              <w:jc w:val="center"/>
              <w:rPr>
                <w:color w:val="auto"/>
                <w:sz w:val="24"/>
                <w:highlight w:val="none"/>
              </w:rPr>
            </w:pPr>
            <w:r>
              <w:rPr>
                <w:rFonts w:hint="eastAsia"/>
                <w:color w:val="auto"/>
                <w:sz w:val="24"/>
                <w:highlight w:val="none"/>
              </w:rPr>
              <w:t>响应</w:t>
            </w:r>
            <w:r>
              <w:rPr>
                <w:color w:val="auto"/>
                <w:sz w:val="24"/>
                <w:highlight w:val="none"/>
              </w:rPr>
              <w:t>文件</w:t>
            </w:r>
            <w:r>
              <w:rPr>
                <w:rFonts w:hint="eastAsia"/>
                <w:color w:val="auto"/>
                <w:sz w:val="24"/>
                <w:highlight w:val="none"/>
              </w:rPr>
              <w:t>未</w:t>
            </w:r>
            <w:r>
              <w:rPr>
                <w:color w:val="auto"/>
                <w:sz w:val="24"/>
                <w:highlight w:val="none"/>
              </w:rPr>
              <w:t>含有采购人不能接受的附加条件</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6" w:type="dxa"/>
            <w:vAlign w:val="center"/>
          </w:tcPr>
          <w:p>
            <w:pPr>
              <w:jc w:val="center"/>
              <w:rPr>
                <w:color w:val="auto"/>
                <w:sz w:val="24"/>
                <w:highlight w:val="none"/>
              </w:rPr>
            </w:pPr>
            <w:r>
              <w:rPr>
                <w:rFonts w:hint="eastAsia"/>
                <w:color w:val="auto"/>
                <w:sz w:val="24"/>
                <w:highlight w:val="none"/>
              </w:rPr>
              <w:t>响应报价是否明显低于成本，恶意竞争的</w:t>
            </w:r>
          </w:p>
        </w:tc>
        <w:tc>
          <w:tcPr>
            <w:tcW w:w="5621" w:type="dxa"/>
            <w:vAlign w:val="center"/>
          </w:tcPr>
          <w:p>
            <w:pPr>
              <w:jc w:val="center"/>
              <w:rPr>
                <w:color w:val="auto"/>
                <w:sz w:val="24"/>
                <w:highlight w:val="none"/>
              </w:rPr>
            </w:pPr>
            <w:r>
              <w:rPr>
                <w:rFonts w:hint="eastAsia"/>
                <w:color w:val="auto"/>
                <w:sz w:val="24"/>
                <w:highlight w:val="none"/>
              </w:rPr>
              <w:t>供应商不存在响应</w:t>
            </w:r>
            <w:r>
              <w:rPr>
                <w:color w:val="auto"/>
                <w:sz w:val="24"/>
                <w:highlight w:val="none"/>
              </w:rPr>
              <w:t>报价明显低于成本，恶意竞争的</w:t>
            </w:r>
            <w:r>
              <w:rPr>
                <w:rFonts w:hint="eastAsia"/>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6" w:type="dxa"/>
            <w:vAlign w:val="center"/>
          </w:tcPr>
          <w:p>
            <w:pPr>
              <w:jc w:val="center"/>
              <w:rPr>
                <w:color w:val="auto"/>
                <w:sz w:val="24"/>
                <w:highlight w:val="none"/>
              </w:rPr>
            </w:pPr>
            <w:r>
              <w:rPr>
                <w:rFonts w:hint="eastAsia"/>
                <w:color w:val="auto"/>
                <w:sz w:val="24"/>
                <w:highlight w:val="none"/>
              </w:rPr>
              <w:t>法律、法规和采购文件规定的其他无效情形</w:t>
            </w:r>
          </w:p>
        </w:tc>
        <w:tc>
          <w:tcPr>
            <w:tcW w:w="5621" w:type="dxa"/>
            <w:vAlign w:val="center"/>
          </w:tcPr>
          <w:p>
            <w:pPr>
              <w:jc w:val="center"/>
              <w:rPr>
                <w:color w:val="auto"/>
                <w:sz w:val="24"/>
                <w:highlight w:val="none"/>
              </w:rPr>
            </w:pPr>
            <w:r>
              <w:rPr>
                <w:rFonts w:hint="eastAsia"/>
                <w:color w:val="auto"/>
                <w:sz w:val="24"/>
                <w:highlight w:val="none"/>
              </w:rPr>
              <w:t>供应商响应文件中不存在法律、法规和采购文件规定的其他无效情形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06" w:type="dxa"/>
            <w:vAlign w:val="center"/>
          </w:tcPr>
          <w:p>
            <w:pPr>
              <w:jc w:val="center"/>
              <w:rPr>
                <w:color w:val="auto"/>
                <w:sz w:val="24"/>
                <w:highlight w:val="none"/>
              </w:rPr>
            </w:pPr>
            <w:r>
              <w:rPr>
                <w:rFonts w:hint="eastAsia"/>
                <w:color w:val="auto"/>
                <w:sz w:val="24"/>
                <w:highlight w:val="none"/>
              </w:rPr>
              <w:t>供应商是否存在围标、串标</w:t>
            </w:r>
          </w:p>
        </w:tc>
        <w:tc>
          <w:tcPr>
            <w:tcW w:w="5621" w:type="dxa"/>
            <w:vAlign w:val="center"/>
          </w:tcPr>
          <w:p>
            <w:pPr>
              <w:jc w:val="center"/>
              <w:rPr>
                <w:color w:val="auto"/>
                <w:sz w:val="24"/>
                <w:highlight w:val="none"/>
              </w:rPr>
            </w:pPr>
            <w:r>
              <w:rPr>
                <w:rFonts w:hint="eastAsia"/>
                <w:color w:val="auto"/>
                <w:sz w:val="24"/>
                <w:highlight w:val="none"/>
              </w:rPr>
              <w:t>供应商不存在视为串通响应的情形。</w:t>
            </w:r>
          </w:p>
        </w:tc>
      </w:tr>
    </w:tbl>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w:t>
      </w:r>
      <w:r>
        <w:rPr>
          <w:rFonts w:hint="eastAsia" w:ascii="Times New Roman" w:hAnsi="Times New Roman"/>
          <w:color w:val="auto"/>
          <w:sz w:val="24"/>
          <w:szCs w:val="24"/>
          <w:highlight w:val="none"/>
        </w:rPr>
        <w:t>4</w:t>
      </w:r>
      <w:r>
        <w:rPr>
          <w:rFonts w:ascii="Times New Roman" w:hAnsi="Times New Roman"/>
          <w:color w:val="auto"/>
          <w:sz w:val="24"/>
          <w:szCs w:val="24"/>
          <w:highlight w:val="none"/>
        </w:rPr>
        <w:t>资格性审查和和符合性审查结束后，磋商小组应当出具资格性审查和符合性审查报告，没有通过资格审查或符合性审查的供应商，磋商小组应当在审查报告中说明原因。</w:t>
      </w:r>
      <w:bookmarkEnd w:id="177"/>
    </w:p>
    <w:p>
      <w:pPr>
        <w:adjustRightInd w:val="0"/>
        <w:snapToGrid w:val="0"/>
        <w:spacing w:line="360" w:lineRule="auto"/>
        <w:ind w:firstLine="480" w:firstLineChars="200"/>
        <w:rPr>
          <w:rFonts w:hint="eastAsia" w:ascii="Times New Roman" w:hAnsi="Times New Roman" w:eastAsia="宋体"/>
          <w:color w:val="auto"/>
          <w:sz w:val="24"/>
          <w:szCs w:val="24"/>
          <w:highlight w:val="none"/>
          <w:lang w:val="en-US" w:eastAsia="zh-CN"/>
        </w:rPr>
      </w:pPr>
      <w:bookmarkStart w:id="178" w:name="_Toc3298205"/>
      <w:r>
        <w:rPr>
          <w:rFonts w:ascii="Times New Roman" w:hAnsi="Times New Roman"/>
          <w:color w:val="auto"/>
          <w:sz w:val="24"/>
          <w:szCs w:val="24"/>
          <w:highlight w:val="none"/>
        </w:rPr>
        <w:t>2.2.</w:t>
      </w:r>
      <w:r>
        <w:rPr>
          <w:rFonts w:hint="eastAsia" w:ascii="Times New Roman" w:hAnsi="Times New Roman"/>
          <w:color w:val="auto"/>
          <w:sz w:val="24"/>
          <w:szCs w:val="24"/>
          <w:highlight w:val="none"/>
        </w:rPr>
        <w:t>5</w:t>
      </w:r>
      <w:r>
        <w:rPr>
          <w:rFonts w:ascii="Times New Roman" w:hAnsi="Times New Roman"/>
          <w:color w:val="auto"/>
          <w:sz w:val="24"/>
          <w:szCs w:val="24"/>
          <w:highlight w:val="none"/>
        </w:rPr>
        <w:t>所有通过了资格审查和符合性审查的供应商均进入磋商程序，磋商顺序由现场抽签决定。</w:t>
      </w:r>
      <w:bookmarkEnd w:id="178"/>
    </w:p>
    <w:p>
      <w:pPr>
        <w:adjustRightInd w:val="0"/>
        <w:snapToGrid w:val="0"/>
        <w:spacing w:line="360" w:lineRule="auto"/>
        <w:ind w:firstLine="480" w:firstLineChars="200"/>
        <w:rPr>
          <w:rFonts w:ascii="Times New Roman" w:hAnsi="Times New Roman"/>
          <w:color w:val="auto"/>
          <w:sz w:val="24"/>
          <w:szCs w:val="24"/>
          <w:highlight w:val="none"/>
        </w:rPr>
      </w:pPr>
      <w:bookmarkStart w:id="179" w:name="_Toc3298206"/>
      <w:r>
        <w:rPr>
          <w:rFonts w:ascii="Times New Roman" w:hAnsi="Times New Roman"/>
          <w:color w:val="auto"/>
          <w:sz w:val="24"/>
          <w:szCs w:val="24"/>
          <w:highlight w:val="none"/>
        </w:rPr>
        <w:t>2.2.</w:t>
      </w:r>
      <w:r>
        <w:rPr>
          <w:rFonts w:hint="eastAsia" w:ascii="Times New Roman" w:hAnsi="Times New Roman"/>
          <w:color w:val="auto"/>
          <w:sz w:val="24"/>
          <w:szCs w:val="24"/>
          <w:highlight w:val="none"/>
        </w:rPr>
        <w:t>6</w:t>
      </w:r>
      <w:r>
        <w:rPr>
          <w:rFonts w:ascii="Times New Roman" w:hAnsi="Times New Roman"/>
          <w:color w:val="auto"/>
          <w:sz w:val="24"/>
          <w:szCs w:val="24"/>
          <w:highlight w:val="none"/>
        </w:rPr>
        <w:t>采购人或者采购代理机构宣布未通过资格审查和符合性审查的供应商名单时，应当告知供应商未通过审查的原因。</w:t>
      </w:r>
      <w:bookmarkEnd w:id="179"/>
    </w:p>
    <w:p>
      <w:pPr>
        <w:adjustRightInd w:val="0"/>
        <w:snapToGrid w:val="0"/>
        <w:spacing w:line="360" w:lineRule="auto"/>
        <w:ind w:firstLine="482" w:firstLineChars="200"/>
        <w:rPr>
          <w:rFonts w:ascii="Times New Roman" w:hAnsi="Times New Roman"/>
          <w:b/>
          <w:bCs/>
          <w:color w:val="auto"/>
          <w:sz w:val="24"/>
          <w:szCs w:val="24"/>
          <w:highlight w:val="none"/>
        </w:rPr>
      </w:pPr>
      <w:bookmarkStart w:id="180" w:name="_Toc3298207"/>
      <w:r>
        <w:rPr>
          <w:rFonts w:ascii="Times New Roman" w:hAnsi="Times New Roman"/>
          <w:b/>
          <w:bCs/>
          <w:color w:val="auto"/>
          <w:sz w:val="24"/>
          <w:szCs w:val="24"/>
          <w:highlight w:val="none"/>
        </w:rPr>
        <w:t>2.3 通过资格性审查/符合性审查的供应商不足3家的，终止本次采购活动，并发布终止采购活动公告。</w:t>
      </w:r>
      <w:bookmarkEnd w:id="180"/>
    </w:p>
    <w:p>
      <w:pPr>
        <w:adjustRightInd w:val="0"/>
        <w:snapToGrid w:val="0"/>
        <w:spacing w:line="360" w:lineRule="auto"/>
        <w:ind w:firstLine="482" w:firstLineChars="200"/>
        <w:rPr>
          <w:rFonts w:ascii="Times New Roman" w:hAnsi="Times New Roman"/>
          <w:b/>
          <w:bCs/>
          <w:color w:val="auto"/>
          <w:sz w:val="24"/>
          <w:szCs w:val="24"/>
          <w:highlight w:val="none"/>
        </w:rPr>
      </w:pPr>
      <w:bookmarkStart w:id="181" w:name="_Toc3298208"/>
      <w:r>
        <w:rPr>
          <w:rFonts w:ascii="Times New Roman" w:hAnsi="Times New Roman"/>
          <w:b/>
          <w:bCs/>
          <w:color w:val="auto"/>
          <w:sz w:val="24"/>
          <w:szCs w:val="24"/>
          <w:highlight w:val="none"/>
        </w:rPr>
        <w:t>2.4磋商。</w:t>
      </w:r>
      <w:bookmarkEnd w:id="181"/>
    </w:p>
    <w:p>
      <w:pPr>
        <w:adjustRightInd w:val="0"/>
        <w:snapToGrid w:val="0"/>
        <w:spacing w:line="360" w:lineRule="auto"/>
        <w:ind w:firstLine="480" w:firstLineChars="200"/>
        <w:rPr>
          <w:rFonts w:ascii="Times New Roman" w:hAnsi="Times New Roman"/>
          <w:color w:val="auto"/>
          <w:sz w:val="24"/>
          <w:szCs w:val="24"/>
          <w:highlight w:val="none"/>
        </w:rPr>
      </w:pPr>
      <w:bookmarkStart w:id="182" w:name="_Toc3298209"/>
      <w:r>
        <w:rPr>
          <w:rFonts w:ascii="Times New Roman" w:hAnsi="Times New Roman"/>
          <w:color w:val="auto"/>
          <w:sz w:val="24"/>
          <w:szCs w:val="24"/>
          <w:highlight w:val="none"/>
        </w:rPr>
        <w:t>2.4.1磋商小组所有成员集中与单一供应商分别进行一轮或多轮磋商，并给予所有参加磋商的供应商平等的磋商机会。磋商过程中，磋商小组可以根据磋商情况调整磋商轮次。</w:t>
      </w:r>
      <w:bookmarkEnd w:id="182"/>
    </w:p>
    <w:p>
      <w:pPr>
        <w:adjustRightInd w:val="0"/>
        <w:snapToGrid w:val="0"/>
        <w:spacing w:line="360" w:lineRule="auto"/>
        <w:ind w:firstLine="480" w:firstLineChars="200"/>
        <w:rPr>
          <w:rFonts w:ascii="Times New Roman" w:hAnsi="Times New Roman"/>
          <w:color w:val="auto"/>
          <w:sz w:val="24"/>
          <w:szCs w:val="24"/>
          <w:highlight w:val="none"/>
        </w:rPr>
      </w:pPr>
      <w:bookmarkStart w:id="183" w:name="_Toc3298210"/>
      <w:r>
        <w:rPr>
          <w:rFonts w:ascii="Times New Roman" w:hAnsi="Times New Roman"/>
          <w:color w:val="auto"/>
          <w:sz w:val="24"/>
          <w:szCs w:val="24"/>
          <w:highlight w:val="none"/>
        </w:rPr>
        <w:t>2.4.2每轮磋商开始前，磋商小组应根据磋商文件的规定，并结合各供应商的响应文件拟定磋商内容。</w:t>
      </w:r>
      <w:bookmarkEnd w:id="183"/>
    </w:p>
    <w:p>
      <w:pPr>
        <w:adjustRightInd w:val="0"/>
        <w:snapToGrid w:val="0"/>
        <w:spacing w:line="360" w:lineRule="auto"/>
        <w:ind w:firstLine="480" w:firstLineChars="200"/>
        <w:rPr>
          <w:rFonts w:ascii="Times New Roman" w:hAnsi="Times New Roman"/>
          <w:color w:val="auto"/>
          <w:sz w:val="24"/>
          <w:szCs w:val="24"/>
          <w:highlight w:val="none"/>
        </w:rPr>
      </w:pPr>
      <w:bookmarkStart w:id="184" w:name="_Toc3298211"/>
      <w:r>
        <w:rPr>
          <w:rFonts w:ascii="Times New Roman" w:hAnsi="Times New Roman"/>
          <w:color w:val="auto"/>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bookmarkEnd w:id="184"/>
    </w:p>
    <w:p>
      <w:pPr>
        <w:adjustRightInd w:val="0"/>
        <w:snapToGrid w:val="0"/>
        <w:spacing w:line="360" w:lineRule="auto"/>
        <w:ind w:firstLine="480" w:firstLineChars="200"/>
        <w:rPr>
          <w:rFonts w:ascii="Times New Roman" w:hAnsi="Times New Roman"/>
          <w:color w:val="auto"/>
          <w:sz w:val="24"/>
          <w:szCs w:val="24"/>
          <w:highlight w:val="none"/>
        </w:rPr>
      </w:pPr>
      <w:bookmarkStart w:id="185" w:name="_Toc3298212"/>
      <w:r>
        <w:rPr>
          <w:rFonts w:ascii="Times New Roman" w:hAnsi="Times New Roman"/>
          <w:color w:val="auto"/>
          <w:sz w:val="24"/>
          <w:szCs w:val="24"/>
          <w:highlight w:val="none"/>
        </w:rPr>
        <w:t>2.4.4对磋商文件作出的实质性变动是磋商文件的有效组成部分，磋商小组应当及时以书面形式同时通知所有参加磋商的供应商。</w:t>
      </w:r>
      <w:bookmarkEnd w:id="185"/>
    </w:p>
    <w:p>
      <w:pPr>
        <w:adjustRightInd w:val="0"/>
        <w:snapToGrid w:val="0"/>
        <w:spacing w:line="360" w:lineRule="auto"/>
        <w:ind w:firstLine="480" w:firstLineChars="200"/>
        <w:rPr>
          <w:rFonts w:ascii="Times New Roman" w:hAnsi="Times New Roman"/>
          <w:color w:val="auto"/>
          <w:sz w:val="24"/>
          <w:szCs w:val="24"/>
          <w:highlight w:val="none"/>
        </w:rPr>
      </w:pPr>
      <w:bookmarkStart w:id="186" w:name="_Toc3298213"/>
      <w:r>
        <w:rPr>
          <w:rFonts w:ascii="Times New Roman" w:hAnsi="Times New Roman"/>
          <w:color w:val="auto"/>
          <w:sz w:val="24"/>
          <w:szCs w:val="24"/>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186"/>
    </w:p>
    <w:p>
      <w:pPr>
        <w:adjustRightInd w:val="0"/>
        <w:snapToGrid w:val="0"/>
        <w:spacing w:line="360" w:lineRule="auto"/>
        <w:ind w:firstLine="480" w:firstLineChars="200"/>
        <w:rPr>
          <w:rFonts w:ascii="Times New Roman" w:hAnsi="Times New Roman"/>
          <w:color w:val="auto"/>
          <w:sz w:val="24"/>
          <w:szCs w:val="24"/>
          <w:highlight w:val="none"/>
        </w:rPr>
      </w:pPr>
      <w:bookmarkStart w:id="187" w:name="_Toc3298214"/>
      <w:r>
        <w:rPr>
          <w:rFonts w:ascii="Times New Roman" w:hAnsi="Times New Roman"/>
          <w:color w:val="auto"/>
          <w:sz w:val="24"/>
          <w:szCs w:val="24"/>
          <w:highlight w:val="none"/>
        </w:rPr>
        <w:t>2.4.6磋商过程中，磋商的任何一方不得透露与磋商有关的其他供应商的技术资料、价格和其他信息。</w:t>
      </w:r>
      <w:bookmarkEnd w:id="187"/>
    </w:p>
    <w:p>
      <w:pPr>
        <w:adjustRightInd w:val="0"/>
        <w:snapToGrid w:val="0"/>
        <w:spacing w:line="360" w:lineRule="auto"/>
        <w:ind w:firstLine="480" w:firstLineChars="200"/>
        <w:rPr>
          <w:rFonts w:ascii="Times New Roman" w:hAnsi="Times New Roman"/>
          <w:color w:val="auto"/>
          <w:sz w:val="24"/>
          <w:szCs w:val="24"/>
          <w:highlight w:val="none"/>
        </w:rPr>
      </w:pPr>
      <w:bookmarkStart w:id="188" w:name="_Toc3298215"/>
      <w:r>
        <w:rPr>
          <w:rFonts w:ascii="Times New Roman" w:hAnsi="Times New Roman"/>
          <w:color w:val="auto"/>
          <w:sz w:val="24"/>
          <w:szCs w:val="24"/>
          <w:highlight w:val="none"/>
        </w:rPr>
        <w:t>2.4.7磋商过程中，磋商小组发现或者知晓供应商存在违法、违纪行为的，磋商小组应当将该供应商响应文件作无效处理，不允许其提交最后报价。</w:t>
      </w:r>
      <w:bookmarkEnd w:id="188"/>
    </w:p>
    <w:p>
      <w:pPr>
        <w:adjustRightInd w:val="0"/>
        <w:snapToGrid w:val="0"/>
        <w:spacing w:line="360" w:lineRule="auto"/>
        <w:ind w:firstLine="480" w:firstLineChars="200"/>
        <w:rPr>
          <w:rFonts w:ascii="Times New Roman" w:hAnsi="Times New Roman"/>
          <w:color w:val="auto"/>
          <w:sz w:val="24"/>
          <w:szCs w:val="24"/>
          <w:highlight w:val="none"/>
        </w:rPr>
      </w:pPr>
      <w:bookmarkStart w:id="189" w:name="_Toc3298216"/>
      <w:r>
        <w:rPr>
          <w:rFonts w:ascii="Times New Roman" w:hAnsi="Times New Roman"/>
          <w:color w:val="auto"/>
          <w:sz w:val="24"/>
          <w:szCs w:val="24"/>
          <w:highlight w:val="none"/>
        </w:rPr>
        <w:t>2.4.8磋商小组经与供应商磋商和依据磋商文件规定的实质性要求，对符合资格的响应文件进行有效性、完整性和响应程度审查，以确定参加最后报价的供应商名单。供应商响应文件未实质性响应磋商文件的，磋商小组将对其响应文件按无效处理，不得参加最后报价，磋商小组将书面告知供应商，说明理由。</w:t>
      </w:r>
      <w:bookmarkEnd w:id="189"/>
    </w:p>
    <w:p>
      <w:pPr>
        <w:adjustRightInd w:val="0"/>
        <w:snapToGrid w:val="0"/>
        <w:spacing w:line="360" w:lineRule="auto"/>
        <w:ind w:firstLine="480" w:firstLineChars="200"/>
        <w:rPr>
          <w:rFonts w:ascii="Times New Roman" w:hAnsi="Times New Roman"/>
          <w:color w:val="auto"/>
          <w:sz w:val="24"/>
          <w:szCs w:val="24"/>
          <w:highlight w:val="none"/>
        </w:rPr>
      </w:pPr>
      <w:bookmarkStart w:id="190" w:name="_Toc3298217"/>
      <w:r>
        <w:rPr>
          <w:rFonts w:ascii="Times New Roman" w:hAnsi="Times New Roman"/>
          <w:color w:val="auto"/>
          <w:sz w:val="24"/>
          <w:szCs w:val="24"/>
          <w:highlight w:val="none"/>
        </w:rPr>
        <w:t>2.4.9磋商完成后，磋商小组应出具磋商情况记录表，磋商情况记录表需包含磋商内容、磋商意见、实质性变动内容等。</w:t>
      </w:r>
      <w:bookmarkEnd w:id="190"/>
    </w:p>
    <w:p>
      <w:pPr>
        <w:adjustRightInd w:val="0"/>
        <w:snapToGrid w:val="0"/>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2.5最后报价。</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2.5.1磋商文件能够详细列明采购标的的技术、服务要求的，磋商结束后，磋商小组应当要求所有实质性响应的供应商在规定时间内提交最后报价，提交最后报价的供应商不得少于3家。</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2.5.3供应商最后报价</w:t>
      </w:r>
      <w:r>
        <w:rPr>
          <w:rFonts w:hint="eastAsia" w:ascii="Times New Roman" w:hAnsi="Times New Roman"/>
          <w:color w:val="auto"/>
          <w:sz w:val="24"/>
          <w:szCs w:val="24"/>
          <w:highlight w:val="none"/>
        </w:rPr>
        <w:t>（包含最后报价一览表和最后一轮分项报价表）</w:t>
      </w:r>
      <w:r>
        <w:rPr>
          <w:rFonts w:ascii="Times New Roman" w:hAnsi="Times New Roman"/>
          <w:color w:val="auto"/>
          <w:sz w:val="24"/>
          <w:szCs w:val="24"/>
          <w:highlight w:val="none"/>
        </w:rPr>
        <w:t>应当由法定代表人/主要负责人/本人或其授权代表签字确认或加盖公章。最后报价是供应商响应文件的有效组成部分，供应商未提供或未按上述要求签字确认或加盖公章的最后报价</w:t>
      </w:r>
      <w:r>
        <w:rPr>
          <w:rFonts w:hint="eastAsia" w:ascii="Times New Roman" w:hAnsi="Times New Roman"/>
          <w:color w:val="auto"/>
          <w:sz w:val="24"/>
          <w:szCs w:val="24"/>
          <w:highlight w:val="none"/>
        </w:rPr>
        <w:t>，其</w:t>
      </w:r>
      <w:r>
        <w:rPr>
          <w:rFonts w:ascii="Times New Roman" w:hAnsi="Times New Roman"/>
          <w:color w:val="auto"/>
          <w:sz w:val="24"/>
          <w:szCs w:val="24"/>
          <w:highlight w:val="none"/>
        </w:rPr>
        <w:t>响应文件作无效处理。</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2" w:firstLineChars="200"/>
        <w:rPr>
          <w:rFonts w:ascii="Times New Roman" w:hAnsi="Times New Roman"/>
          <w:color w:val="auto"/>
          <w:sz w:val="24"/>
          <w:szCs w:val="24"/>
          <w:highlight w:val="none"/>
        </w:rPr>
      </w:pPr>
      <w:r>
        <w:rPr>
          <w:rFonts w:ascii="Times New Roman" w:hAnsi="Times New Roman"/>
          <w:b/>
          <w:bCs/>
          <w:color w:val="auto"/>
          <w:sz w:val="24"/>
          <w:szCs w:val="24"/>
          <w:highlight w:val="none"/>
        </w:rPr>
        <w:t>2.6比较与评价。</w:t>
      </w:r>
      <w:r>
        <w:rPr>
          <w:rFonts w:ascii="Times New Roman" w:hAnsi="Times New Roman"/>
          <w:color w:val="auto"/>
          <w:sz w:val="24"/>
          <w:szCs w:val="24"/>
          <w:highlight w:val="none"/>
        </w:rPr>
        <w:t>由磋商小组采用综合评分法对提交最后报价的供应商的响应文件和最后报价进行综合评分，具体要求详见本章综合评分部分。</w:t>
      </w:r>
    </w:p>
    <w:p>
      <w:pPr>
        <w:adjustRightInd w:val="0"/>
        <w:snapToGrid w:val="0"/>
        <w:spacing w:line="360" w:lineRule="auto"/>
        <w:ind w:firstLine="482" w:firstLineChars="200"/>
        <w:rPr>
          <w:rFonts w:ascii="Times New Roman" w:hAnsi="Times New Roman"/>
          <w:color w:val="auto"/>
          <w:sz w:val="24"/>
          <w:szCs w:val="24"/>
          <w:highlight w:val="none"/>
        </w:rPr>
      </w:pPr>
      <w:r>
        <w:rPr>
          <w:rFonts w:ascii="Times New Roman" w:hAnsi="Times New Roman"/>
          <w:b/>
          <w:bCs/>
          <w:color w:val="auto"/>
          <w:sz w:val="24"/>
          <w:szCs w:val="24"/>
          <w:highlight w:val="none"/>
        </w:rPr>
        <w:t>2.7推荐成交候选供应商。</w:t>
      </w:r>
      <w:r>
        <w:rPr>
          <w:rFonts w:ascii="Times New Roman" w:hAnsi="Times New Roman"/>
          <w:color w:val="auto"/>
          <w:sz w:val="24"/>
          <w:szCs w:val="24"/>
          <w:highlight w:val="none"/>
        </w:rPr>
        <w:t>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w:t>
      </w:r>
      <w:r>
        <w:rPr>
          <w:rFonts w:ascii="Times New Roman" w:hAnsi="Times New Roman"/>
          <w:color w:val="auto"/>
          <w:sz w:val="24"/>
          <w:highlight w:val="none"/>
        </w:rPr>
        <w:t>由不发达地区或少数民族地区企业的供应商排序在前（供应商需提供不发达地区企业的相关证明材料或供应商注册地为少数民族地区），</w:t>
      </w:r>
      <w:r>
        <w:rPr>
          <w:rFonts w:ascii="Times New Roman" w:hAnsi="Times New Roman"/>
          <w:color w:val="auto"/>
          <w:sz w:val="24"/>
          <w:szCs w:val="24"/>
          <w:highlight w:val="none"/>
        </w:rPr>
        <w:t>评审得分且最后报价且技术指标分项得分均相同的</w:t>
      </w:r>
      <w:r>
        <w:rPr>
          <w:rFonts w:ascii="Times New Roman" w:hAnsi="Times New Roman"/>
          <w:color w:val="auto"/>
          <w:sz w:val="24"/>
          <w:highlight w:val="none"/>
        </w:rPr>
        <w:t>，同时也不能区分不发达地区或少数民族地区企业的并列，由采购人自主采取公平、择优的方式选择成交供应商</w:t>
      </w:r>
      <w:r>
        <w:rPr>
          <w:rFonts w:ascii="Times New Roman" w:hAnsi="Times New Roman"/>
          <w:color w:val="auto"/>
          <w:sz w:val="24"/>
          <w:szCs w:val="24"/>
          <w:highlight w:val="none"/>
        </w:rPr>
        <w:t>。</w:t>
      </w:r>
    </w:p>
    <w:p>
      <w:pPr>
        <w:adjustRightInd w:val="0"/>
        <w:snapToGrid w:val="0"/>
        <w:spacing w:line="360" w:lineRule="auto"/>
        <w:ind w:firstLine="482" w:firstLineChars="200"/>
        <w:rPr>
          <w:rFonts w:ascii="Times New Roman" w:hAnsi="Times New Roman"/>
          <w:color w:val="auto"/>
          <w:sz w:val="24"/>
          <w:szCs w:val="24"/>
          <w:highlight w:val="none"/>
        </w:rPr>
      </w:pPr>
      <w:r>
        <w:rPr>
          <w:rFonts w:ascii="Times New Roman" w:hAnsi="Times New Roman"/>
          <w:b/>
          <w:bCs/>
          <w:color w:val="auto"/>
          <w:sz w:val="24"/>
          <w:szCs w:val="24"/>
          <w:highlight w:val="none"/>
        </w:rPr>
        <w:t>2.8磋商小组复核。</w:t>
      </w:r>
      <w:r>
        <w:rPr>
          <w:rFonts w:ascii="Times New Roman" w:hAnsi="Times New Roman"/>
          <w:color w:val="auto"/>
          <w:sz w:val="24"/>
          <w:szCs w:val="24"/>
          <w:highlight w:val="none"/>
        </w:rPr>
        <w:t>磋商小组评分汇总结束后，磋商小组应当进行评审复核，对拟推荐为成交候选供应商的、报价最低的、供应商资格审查未通过的、供应商响应文件作无效处理的重点复核。</w:t>
      </w:r>
    </w:p>
    <w:p>
      <w:pPr>
        <w:adjustRightInd w:val="0"/>
        <w:snapToGrid w:val="0"/>
        <w:spacing w:line="360" w:lineRule="auto"/>
        <w:ind w:firstLine="482" w:firstLineChars="200"/>
        <w:rPr>
          <w:rFonts w:ascii="Times New Roman" w:hAnsi="Times New Roman"/>
          <w:color w:val="auto"/>
          <w:sz w:val="24"/>
          <w:szCs w:val="24"/>
          <w:highlight w:val="none"/>
        </w:rPr>
      </w:pPr>
      <w:r>
        <w:rPr>
          <w:rFonts w:ascii="Times New Roman" w:hAnsi="Times New Roman"/>
          <w:b/>
          <w:bCs/>
          <w:color w:val="auto"/>
          <w:sz w:val="24"/>
          <w:szCs w:val="24"/>
          <w:highlight w:val="none"/>
        </w:rPr>
        <w:t>2.9编写磋商报告。</w:t>
      </w:r>
      <w:r>
        <w:rPr>
          <w:rFonts w:ascii="Times New Roman" w:hAnsi="Times New Roman"/>
          <w:color w:val="auto"/>
          <w:sz w:val="24"/>
          <w:szCs w:val="24"/>
          <w:highlight w:val="none"/>
        </w:rPr>
        <w:t>磋商小组推荐成交候选供应商后，应向采购代理机构出具磋商报告。磋商报告应当包括以下主要内容：</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（1）邀请供应商参加采购活动的具体方式和相关情况，以及参加采购活动的供应商名单；</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（2）磋商日期和地点，磋商小组成员名单；</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（3）参加报价的供应商名单及报价情况和未参加报价的供应商名单及原因；</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（4）变动磋商文件实质性内容的有关资料及记录；</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（5）供应商响应文件响应磋商文件实质性要求情况及供应商变动响应文件有关资料及记录；</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（4）磋商情况记录和说明，包括对供应商的资格审查情况、供应商响应文件磋商情况等；</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（5）提出的成交候选供应商的排序名单及理由。</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adjustRightInd w:val="0"/>
        <w:snapToGrid w:val="0"/>
        <w:spacing w:line="360" w:lineRule="auto"/>
        <w:ind w:firstLine="482" w:firstLineChars="200"/>
        <w:rPr>
          <w:rFonts w:ascii="Times New Roman" w:hAnsi="Times New Roman"/>
          <w:color w:val="auto"/>
          <w:sz w:val="24"/>
          <w:szCs w:val="24"/>
          <w:highlight w:val="none"/>
        </w:rPr>
      </w:pPr>
      <w:r>
        <w:rPr>
          <w:rFonts w:ascii="Times New Roman" w:hAnsi="Times New Roman"/>
          <w:b/>
          <w:bCs/>
          <w:color w:val="auto"/>
          <w:sz w:val="24"/>
          <w:szCs w:val="24"/>
          <w:highlight w:val="none"/>
        </w:rPr>
        <w:t>2.11磋商异议处理规则。</w:t>
      </w:r>
      <w:r>
        <w:rPr>
          <w:rFonts w:ascii="Times New Roman" w:hAnsi="Times New Roman"/>
          <w:color w:val="auto"/>
          <w:sz w:val="24"/>
          <w:szCs w:val="24"/>
          <w:highlight w:val="none"/>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adjustRightInd w:val="0"/>
        <w:snapToGrid w:val="0"/>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2.12供应商澄清、说明</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2.12.2磋商小组要求供应商澄清、说明或者更正响应文件应当以书面形式作出。供应商的澄清、说明或者更正应当由法定代表人/主要负责人/本人或其授权代表签字或者加盖公章。</w:t>
      </w:r>
    </w:p>
    <w:p>
      <w:pPr>
        <w:adjustRightInd w:val="0"/>
        <w:snapToGrid w:val="0"/>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2.13终止磋商采购活动。</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出现下列情形之一的，采购人或者采购代理机构应当终止竞争性磋商采购活动，发布项目终止公告并说明原因，重新开展采购活动：</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（1）因情况变化，不再符合规定的竞争性磋商采购方式适用情形的；</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（2）出现影响采购公正的违法、违规行为的；</w:t>
      </w:r>
    </w:p>
    <w:p>
      <w:pPr>
        <w:adjustRightInd w:val="0"/>
        <w:snapToGrid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（3）在采购过程中符合要求的供应商或者报价未超过采购预算的供应商不足3家的。</w:t>
      </w:r>
    </w:p>
    <w:p>
      <w:pPr>
        <w:adjustRightInd w:val="0"/>
        <w:snapToGrid w:val="0"/>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3.评审细则及标准</w:t>
      </w:r>
    </w:p>
    <w:p>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3.1本次综合评分的因素详见综合评分明细表。</w:t>
      </w:r>
    </w:p>
    <w:p>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3.2磋商小组成员应当根据自身专业情况独立对每个有效供应商的响应文件进行评价、打分。</w:t>
      </w:r>
    </w:p>
    <w:p>
      <w:pPr>
        <w:adjustRightInd w:val="0"/>
        <w:snapToGrid w:val="0"/>
        <w:spacing w:line="360" w:lineRule="auto"/>
        <w:ind w:firstLine="240" w:firstLineChars="100"/>
        <w:jc w:val="left"/>
        <w:rPr>
          <w:rFonts w:ascii="Times New Roman" w:hAnsi="Times New Roman"/>
          <w:color w:val="auto"/>
          <w:sz w:val="24"/>
          <w:highlight w:val="none"/>
        </w:rPr>
      </w:pPr>
      <w:r>
        <w:rPr>
          <w:rFonts w:ascii="Times New Roman" w:hAnsi="Times New Roman"/>
          <w:bCs/>
          <w:color w:val="auto"/>
          <w:sz w:val="24"/>
          <w:szCs w:val="24"/>
          <w:highlight w:val="none"/>
        </w:rPr>
        <w:t>3.3</w:t>
      </w:r>
      <w:r>
        <w:rPr>
          <w:rFonts w:ascii="Times New Roman" w:hAnsi="Times New Roman"/>
          <w:color w:val="auto"/>
          <w:sz w:val="24"/>
          <w:highlight w:val="none"/>
        </w:rPr>
        <w:t>综合评分明细表</w:t>
      </w:r>
    </w:p>
    <w:tbl>
      <w:tblPr>
        <w:tblStyle w:val="46"/>
        <w:tblW w:w="102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40"/>
        <w:gridCol w:w="1484"/>
        <w:gridCol w:w="709"/>
        <w:gridCol w:w="677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1240" w:type="dxa"/>
            <w:tcBorders>
              <w:tl2br w:val="nil"/>
              <w:tr2bl w:val="nil"/>
            </w:tcBorders>
            <w:noWrap w:val="0"/>
            <w:vAlign w:val="center"/>
          </w:tcPr>
          <w:p>
            <w:pPr>
              <w:snapToGrid w:val="0"/>
              <w:jc w:val="center"/>
              <w:rPr>
                <w:rFonts w:hint="eastAsia" w:ascii="Arial" w:hAnsi="Arial" w:eastAsia="黑体" w:cs="Arial"/>
                <w:spacing w:val="-20"/>
                <w:kern w:val="0"/>
                <w:sz w:val="24"/>
                <w:szCs w:val="20"/>
                <w:highlight w:val="none"/>
              </w:rPr>
            </w:pPr>
            <w:r>
              <w:rPr>
                <w:rFonts w:hint="eastAsia" w:ascii="Arial" w:hAnsi="Arial" w:eastAsia="黑体" w:cs="Arial"/>
                <w:spacing w:val="-20"/>
                <w:kern w:val="0"/>
                <w:sz w:val="24"/>
                <w:szCs w:val="20"/>
                <w:highlight w:val="none"/>
                <w:lang w:val="en-US" w:eastAsia="zh-CN"/>
              </w:rPr>
              <w:t>项目及权重</w:t>
            </w:r>
          </w:p>
        </w:tc>
        <w:tc>
          <w:tcPr>
            <w:tcW w:w="1484" w:type="dxa"/>
            <w:tcBorders>
              <w:tl2br w:val="nil"/>
              <w:tr2bl w:val="nil"/>
            </w:tcBorders>
            <w:noWrap w:val="0"/>
            <w:vAlign w:val="center"/>
          </w:tcPr>
          <w:p>
            <w:pPr>
              <w:snapToGrid w:val="0"/>
              <w:jc w:val="center"/>
              <w:rPr>
                <w:rFonts w:hint="eastAsia" w:ascii="Arial" w:hAnsi="Arial" w:eastAsia="黑体" w:cs="Arial"/>
                <w:spacing w:val="-20"/>
                <w:kern w:val="0"/>
                <w:sz w:val="24"/>
                <w:szCs w:val="20"/>
                <w:highlight w:val="none"/>
              </w:rPr>
            </w:pPr>
            <w:r>
              <w:rPr>
                <w:rFonts w:hint="eastAsia" w:ascii="Arial" w:hAnsi="Arial" w:eastAsia="黑体" w:cs="Arial"/>
                <w:spacing w:val="-20"/>
                <w:kern w:val="0"/>
                <w:sz w:val="24"/>
                <w:szCs w:val="20"/>
                <w:highlight w:val="none"/>
                <w:lang w:val="en-US" w:eastAsia="zh-CN"/>
              </w:rPr>
              <w:t>评审内容</w:t>
            </w:r>
          </w:p>
        </w:tc>
        <w:tc>
          <w:tcPr>
            <w:tcW w:w="709" w:type="dxa"/>
            <w:tcBorders>
              <w:tl2br w:val="nil"/>
              <w:tr2bl w:val="nil"/>
            </w:tcBorders>
            <w:noWrap w:val="0"/>
            <w:vAlign w:val="center"/>
          </w:tcPr>
          <w:p>
            <w:pPr>
              <w:snapToGrid w:val="0"/>
              <w:jc w:val="center"/>
              <w:rPr>
                <w:rFonts w:hint="eastAsia" w:ascii="Arial" w:hAnsi="Arial" w:eastAsia="黑体" w:cs="Arial"/>
                <w:spacing w:val="-20"/>
                <w:kern w:val="0"/>
                <w:sz w:val="24"/>
                <w:szCs w:val="20"/>
                <w:highlight w:val="none"/>
              </w:rPr>
            </w:pPr>
            <w:r>
              <w:rPr>
                <w:rFonts w:hint="eastAsia" w:ascii="Arial" w:hAnsi="Arial" w:eastAsia="黑体" w:cs="Arial"/>
                <w:spacing w:val="-20"/>
                <w:kern w:val="0"/>
                <w:sz w:val="24"/>
                <w:szCs w:val="20"/>
                <w:highlight w:val="none"/>
                <w:lang w:val="en-US" w:eastAsia="zh-CN"/>
              </w:rPr>
              <w:t>分值</w:t>
            </w:r>
          </w:p>
        </w:tc>
        <w:tc>
          <w:tcPr>
            <w:tcW w:w="6777" w:type="dxa"/>
            <w:tcBorders>
              <w:tl2br w:val="nil"/>
              <w:tr2bl w:val="nil"/>
            </w:tcBorders>
            <w:noWrap w:val="0"/>
            <w:vAlign w:val="center"/>
          </w:tcPr>
          <w:p>
            <w:pPr>
              <w:snapToGrid w:val="0"/>
              <w:jc w:val="center"/>
              <w:rPr>
                <w:rFonts w:hint="eastAsia" w:ascii="Arial" w:hAnsi="Arial" w:eastAsia="黑体" w:cs="Arial"/>
                <w:spacing w:val="-20"/>
                <w:kern w:val="0"/>
                <w:sz w:val="24"/>
                <w:szCs w:val="20"/>
                <w:highlight w:val="none"/>
              </w:rPr>
            </w:pPr>
            <w:r>
              <w:rPr>
                <w:rFonts w:hint="eastAsia" w:ascii="Arial" w:hAnsi="Arial" w:eastAsia="黑体" w:cs="Arial"/>
                <w:spacing w:val="-20"/>
                <w:kern w:val="0"/>
                <w:sz w:val="24"/>
                <w:szCs w:val="20"/>
                <w:highlight w:val="none"/>
                <w:lang w:val="en-US" w:eastAsia="zh-CN"/>
              </w:rPr>
              <w:t>评价标准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40" w:type="dxa"/>
            <w:tcBorders>
              <w:tl2br w:val="nil"/>
              <w:tr2bl w:val="nil"/>
            </w:tcBorders>
            <w:noWrap w:val="0"/>
            <w:vAlign w:val="center"/>
          </w:tcPr>
          <w:p>
            <w:pPr>
              <w:widowControl/>
              <w:jc w:val="center"/>
              <w:rPr>
                <w:rFonts w:hint="eastAsia" w:ascii="黑体" w:hAnsi="黑体" w:eastAsia="黑体" w:cs="黑体"/>
                <w:kern w:val="0"/>
                <w:sz w:val="24"/>
                <w:szCs w:val="20"/>
                <w:highlight w:val="none"/>
              </w:rPr>
            </w:pPr>
            <w:r>
              <w:rPr>
                <w:rFonts w:hint="eastAsia" w:ascii="黑体" w:hAnsi="黑体" w:eastAsia="黑体" w:cs="黑体"/>
                <w:kern w:val="0"/>
                <w:sz w:val="24"/>
                <w:szCs w:val="20"/>
                <w:highlight w:val="none"/>
                <w:lang w:val="en-US" w:eastAsia="zh-CN"/>
              </w:rPr>
              <w:t>价格评分（15%）</w:t>
            </w:r>
          </w:p>
        </w:tc>
        <w:tc>
          <w:tcPr>
            <w:tcW w:w="1484" w:type="dxa"/>
            <w:tcBorders>
              <w:tl2br w:val="nil"/>
              <w:tr2bl w:val="nil"/>
            </w:tcBorders>
            <w:noWrap w:val="0"/>
            <w:vAlign w:val="center"/>
          </w:tcPr>
          <w:p>
            <w:pPr>
              <w:widowControl/>
              <w:jc w:val="center"/>
              <w:rPr>
                <w:rFonts w:hint="eastAsia" w:ascii="黑体" w:hAnsi="黑体" w:eastAsia="黑体" w:cs="黑体"/>
                <w:kern w:val="0"/>
                <w:sz w:val="24"/>
                <w:szCs w:val="20"/>
                <w:highlight w:val="none"/>
              </w:rPr>
            </w:pPr>
            <w:r>
              <w:rPr>
                <w:rFonts w:hint="eastAsia" w:ascii="黑体" w:hAnsi="黑体" w:eastAsia="黑体" w:cs="黑体"/>
                <w:kern w:val="0"/>
                <w:sz w:val="24"/>
                <w:szCs w:val="20"/>
                <w:highlight w:val="none"/>
              </w:rPr>
              <w:t>有效</w:t>
            </w:r>
            <w:r>
              <w:rPr>
                <w:rFonts w:hint="eastAsia" w:ascii="黑体" w:hAnsi="黑体" w:eastAsia="黑体" w:cs="黑体"/>
                <w:kern w:val="0"/>
                <w:sz w:val="24"/>
                <w:szCs w:val="20"/>
                <w:highlight w:val="none"/>
                <w:lang w:eastAsia="zh-CN"/>
              </w:rPr>
              <w:t>供应商</w:t>
            </w:r>
            <w:r>
              <w:rPr>
                <w:rFonts w:hint="eastAsia" w:ascii="黑体" w:hAnsi="黑体" w:eastAsia="黑体" w:cs="黑体"/>
                <w:kern w:val="0"/>
                <w:sz w:val="24"/>
                <w:szCs w:val="20"/>
                <w:highlight w:val="none"/>
              </w:rPr>
              <w:t>的</w:t>
            </w:r>
            <w:r>
              <w:rPr>
                <w:rFonts w:hint="eastAsia" w:ascii="黑体" w:hAnsi="黑体" w:eastAsia="黑体" w:cs="黑体"/>
                <w:kern w:val="0"/>
                <w:sz w:val="24"/>
                <w:szCs w:val="20"/>
                <w:highlight w:val="none"/>
                <w:lang w:val="en-US" w:eastAsia="zh-CN"/>
              </w:rPr>
              <w:t>最终</w:t>
            </w:r>
            <w:r>
              <w:rPr>
                <w:rFonts w:hint="eastAsia" w:ascii="黑体" w:hAnsi="黑体" w:eastAsia="黑体" w:cs="黑体"/>
                <w:kern w:val="0"/>
                <w:sz w:val="24"/>
                <w:szCs w:val="20"/>
                <w:highlight w:val="none"/>
              </w:rPr>
              <w:t>报价</w:t>
            </w:r>
          </w:p>
        </w:tc>
        <w:tc>
          <w:tcPr>
            <w:tcW w:w="709" w:type="dxa"/>
            <w:tcBorders>
              <w:tl2br w:val="nil"/>
              <w:tr2bl w:val="nil"/>
            </w:tcBorders>
            <w:noWrap w:val="0"/>
            <w:vAlign w:val="center"/>
          </w:tcPr>
          <w:p>
            <w:pPr>
              <w:widowControl/>
              <w:jc w:val="center"/>
              <w:rPr>
                <w:rFonts w:hint="default" w:ascii="黑体" w:hAnsi="黑体" w:eastAsia="黑体" w:cs="黑体"/>
                <w:kern w:val="0"/>
                <w:sz w:val="24"/>
                <w:szCs w:val="20"/>
                <w:highlight w:val="none"/>
                <w:lang w:val="en-US"/>
              </w:rPr>
            </w:pPr>
            <w:r>
              <w:rPr>
                <w:rFonts w:hint="eastAsia" w:ascii="黑体" w:hAnsi="黑体" w:eastAsia="黑体" w:cs="黑体"/>
                <w:kern w:val="0"/>
                <w:sz w:val="24"/>
                <w:szCs w:val="20"/>
                <w:highlight w:val="none"/>
                <w:lang w:val="en-US" w:eastAsia="zh-CN"/>
              </w:rPr>
              <w:t>15</w:t>
            </w:r>
          </w:p>
        </w:tc>
        <w:tc>
          <w:tcPr>
            <w:tcW w:w="6777" w:type="dxa"/>
            <w:tcBorders>
              <w:tl2br w:val="nil"/>
              <w:tr2bl w:val="nil"/>
            </w:tcBorders>
            <w:noWrap w:val="0"/>
            <w:vAlign w:val="center"/>
          </w:tcPr>
          <w:p>
            <w:pPr>
              <w:adjustRightInd w:val="0"/>
              <w:snapToGrid w:val="0"/>
              <w:rPr>
                <w:rFonts w:hint="eastAsia" w:ascii="Arial" w:hAnsi="Arial" w:eastAsia="楷体_GB2312" w:cs="Arial"/>
                <w:sz w:val="24"/>
                <w:highlight w:val="none"/>
              </w:rPr>
            </w:pPr>
            <w:r>
              <w:rPr>
                <w:rFonts w:ascii="Arial" w:hAnsi="Arial" w:eastAsia="楷体_GB2312" w:cs="Arial"/>
                <w:sz w:val="24"/>
                <w:highlight w:val="none"/>
              </w:rPr>
              <w:t>经专家评审的</w:t>
            </w:r>
            <w:r>
              <w:rPr>
                <w:rFonts w:hint="eastAsia" w:ascii="Arial" w:hAnsi="Arial" w:eastAsia="楷体_GB2312" w:cs="Arial"/>
                <w:sz w:val="24"/>
                <w:highlight w:val="none"/>
                <w:lang w:val="en-US" w:eastAsia="zh-CN"/>
              </w:rPr>
              <w:t>最终</w:t>
            </w:r>
            <w:r>
              <w:rPr>
                <w:rFonts w:ascii="Arial" w:hAnsi="Arial" w:eastAsia="楷体_GB2312" w:cs="Arial"/>
                <w:sz w:val="24"/>
                <w:highlight w:val="none"/>
              </w:rPr>
              <w:t>最低有效报价作为</w:t>
            </w:r>
            <w:r>
              <w:rPr>
                <w:rFonts w:hint="eastAsia" w:ascii="Arial" w:hAnsi="Arial" w:eastAsia="楷体_GB2312" w:cs="Arial"/>
                <w:sz w:val="24"/>
                <w:highlight w:val="none"/>
                <w:lang w:val="en-US" w:eastAsia="zh-CN"/>
              </w:rPr>
              <w:t>评审</w:t>
            </w:r>
            <w:r>
              <w:rPr>
                <w:rFonts w:ascii="Arial" w:hAnsi="Arial" w:eastAsia="楷体_GB2312" w:cs="Arial"/>
                <w:sz w:val="24"/>
                <w:highlight w:val="none"/>
              </w:rPr>
              <w:t>基准价，其报价得满分</w:t>
            </w:r>
            <w:r>
              <w:rPr>
                <w:rFonts w:hint="eastAsia" w:ascii="Arial" w:hAnsi="Arial" w:eastAsia="楷体_GB2312" w:cs="Arial"/>
                <w:sz w:val="24"/>
                <w:highlight w:val="none"/>
                <w:lang w:val="en-US" w:eastAsia="zh-CN"/>
              </w:rPr>
              <w:t>15</w:t>
            </w:r>
            <w:r>
              <w:rPr>
                <w:rFonts w:ascii="Arial" w:hAnsi="Arial" w:eastAsia="楷体_GB2312" w:cs="Arial"/>
                <w:sz w:val="24"/>
                <w:highlight w:val="none"/>
              </w:rPr>
              <w:t>分；其他</w:t>
            </w:r>
            <w:r>
              <w:rPr>
                <w:rFonts w:hint="eastAsia" w:ascii="Arial" w:hAnsi="Arial" w:eastAsia="楷体_GB2312" w:cs="Arial"/>
                <w:sz w:val="24"/>
                <w:highlight w:val="none"/>
              </w:rPr>
              <w:t>供应商</w:t>
            </w:r>
            <w:r>
              <w:rPr>
                <w:rFonts w:ascii="Arial" w:hAnsi="Arial" w:eastAsia="楷体_GB2312" w:cs="Arial"/>
                <w:sz w:val="24"/>
                <w:highlight w:val="none"/>
              </w:rPr>
              <w:t>的报价得分按“</w:t>
            </w:r>
            <w:r>
              <w:rPr>
                <w:rFonts w:hint="eastAsia" w:ascii="楷体_GB2312" w:hAnsi="Arial" w:eastAsia="楷体_GB2312" w:cs="Arial"/>
                <w:sz w:val="24"/>
                <w:highlight w:val="none"/>
                <w:lang w:val="en-US" w:eastAsia="zh-CN"/>
              </w:rPr>
              <w:t>响应</w:t>
            </w:r>
            <w:r>
              <w:rPr>
                <w:rFonts w:ascii="楷体_GB2312" w:hAnsi="Arial" w:eastAsia="楷体_GB2312" w:cs="Arial"/>
                <w:sz w:val="24"/>
                <w:highlight w:val="none"/>
              </w:rPr>
              <w:t>报价得分</w:t>
            </w:r>
            <w:r>
              <w:rPr>
                <w:rFonts w:ascii="Arial" w:hAnsi="Arial" w:eastAsia="楷体_GB2312" w:cs="Arial"/>
                <w:sz w:val="24"/>
                <w:highlight w:val="none"/>
              </w:rPr>
              <w:t>=</w:t>
            </w:r>
            <w:r>
              <w:rPr>
                <w:rFonts w:ascii="楷体_GB2312" w:hAnsi="Arial" w:eastAsia="楷体_GB2312" w:cs="Arial"/>
                <w:sz w:val="24"/>
                <w:highlight w:val="none"/>
              </w:rPr>
              <w:t>（</w:t>
            </w:r>
            <w:r>
              <w:rPr>
                <w:rFonts w:hint="eastAsia" w:ascii="楷体_GB2312" w:hAnsi="Arial" w:eastAsia="楷体_GB2312" w:cs="Arial"/>
                <w:sz w:val="24"/>
                <w:highlight w:val="none"/>
                <w:lang w:val="en-US" w:eastAsia="zh-CN"/>
              </w:rPr>
              <w:t>评审</w:t>
            </w:r>
            <w:r>
              <w:rPr>
                <w:rFonts w:ascii="楷体_GB2312" w:hAnsi="Arial" w:eastAsia="楷体_GB2312" w:cs="Arial"/>
                <w:sz w:val="24"/>
                <w:highlight w:val="none"/>
              </w:rPr>
              <w:t>基准价</w:t>
            </w:r>
            <w:r>
              <w:rPr>
                <w:rFonts w:ascii="Arial" w:hAnsi="Arial" w:eastAsia="楷体_GB2312" w:cs="Arial"/>
                <w:sz w:val="24"/>
                <w:highlight w:val="none"/>
              </w:rPr>
              <w:t>/</w:t>
            </w:r>
            <w:r>
              <w:rPr>
                <w:rFonts w:hint="eastAsia" w:ascii="楷体_GB2312" w:hAnsi="Arial" w:eastAsia="楷体_GB2312" w:cs="Arial"/>
                <w:sz w:val="24"/>
                <w:highlight w:val="none"/>
                <w:lang w:val="en-US" w:eastAsia="zh-CN"/>
              </w:rPr>
              <w:t>响应</w:t>
            </w:r>
            <w:r>
              <w:rPr>
                <w:rFonts w:hint="eastAsia" w:ascii="楷体_GB2312" w:hAnsi="Arial" w:eastAsia="楷体_GB2312" w:cs="Arial"/>
                <w:sz w:val="24"/>
                <w:highlight w:val="none"/>
              </w:rPr>
              <w:t>评审</w:t>
            </w:r>
            <w:r>
              <w:rPr>
                <w:rFonts w:ascii="楷体_GB2312" w:hAnsi="Arial" w:eastAsia="楷体_GB2312" w:cs="Arial"/>
                <w:sz w:val="24"/>
                <w:highlight w:val="none"/>
              </w:rPr>
              <w:t>价）</w:t>
            </w:r>
            <w:r>
              <w:rPr>
                <w:rFonts w:ascii="Arial" w:hAnsi="Arial" w:eastAsia="楷体_GB2312" w:cs="Arial"/>
                <w:sz w:val="24"/>
                <w:highlight w:val="none"/>
              </w:rPr>
              <w:t>×</w:t>
            </w:r>
            <w:r>
              <w:rPr>
                <w:rFonts w:hint="eastAsia" w:ascii="Arial" w:hAnsi="Arial" w:eastAsia="楷体_GB2312" w:cs="Arial"/>
                <w:sz w:val="24"/>
                <w:highlight w:val="none"/>
                <w:lang w:val="en-US" w:eastAsia="zh-CN"/>
              </w:rPr>
              <w:t>15</w:t>
            </w:r>
            <w:r>
              <w:rPr>
                <w:rFonts w:ascii="Arial" w:hAnsi="Arial" w:eastAsia="楷体_GB2312" w:cs="Arial"/>
                <w:sz w:val="24"/>
                <w:highlight w:val="none"/>
              </w:rPr>
              <w:t>分”</w:t>
            </w:r>
            <w:r>
              <w:rPr>
                <w:rFonts w:ascii="楷体_GB2312" w:hAnsi="Arial" w:eastAsia="楷体_GB2312" w:cs="Arial"/>
                <w:sz w:val="24"/>
                <w:highlight w:val="none"/>
              </w:rPr>
              <w:t>计算。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09" w:hRule="atLeast"/>
          <w:jc w:val="center"/>
        </w:trPr>
        <w:tc>
          <w:tcPr>
            <w:tcW w:w="1240" w:type="dxa"/>
            <w:vMerge w:val="restart"/>
            <w:tcBorders>
              <w:tl2br w:val="nil"/>
              <w:tr2bl w:val="nil"/>
            </w:tcBorders>
            <w:noWrap w:val="0"/>
            <w:vAlign w:val="center"/>
          </w:tcPr>
          <w:p>
            <w:pPr>
              <w:widowControl/>
              <w:jc w:val="center"/>
              <w:rPr>
                <w:rFonts w:hint="eastAsia"/>
                <w:highlight w:val="none"/>
                <w:lang w:val="en-US" w:eastAsia="zh-Hans"/>
              </w:rPr>
            </w:pPr>
            <w:r>
              <w:rPr>
                <w:rFonts w:hint="eastAsia" w:ascii="黑体" w:hAnsi="黑体" w:eastAsia="黑体" w:cs="黑体"/>
                <w:kern w:val="0"/>
                <w:sz w:val="24"/>
                <w:szCs w:val="20"/>
                <w:highlight w:val="none"/>
                <w:lang w:val="en-US" w:eastAsia="zh-Hans"/>
              </w:rPr>
              <w:t>商务评分</w:t>
            </w:r>
            <w:r>
              <w:rPr>
                <w:rFonts w:hint="eastAsia" w:ascii="黑体" w:hAnsi="黑体" w:eastAsia="黑体" w:cs="黑体"/>
                <w:kern w:val="0"/>
                <w:sz w:val="24"/>
                <w:szCs w:val="20"/>
                <w:highlight w:val="none"/>
                <w:lang w:eastAsia="zh-Hans"/>
              </w:rPr>
              <w:t>（</w:t>
            </w:r>
            <w:r>
              <w:rPr>
                <w:rFonts w:hint="default" w:ascii="黑体" w:hAnsi="黑体" w:eastAsia="黑体" w:cs="黑体"/>
                <w:kern w:val="0"/>
                <w:sz w:val="24"/>
                <w:szCs w:val="20"/>
                <w:highlight w:val="none"/>
                <w:lang w:eastAsia="zh-Hans"/>
              </w:rPr>
              <w:t>1</w:t>
            </w:r>
            <w:r>
              <w:rPr>
                <w:rFonts w:hint="eastAsia" w:ascii="黑体" w:hAnsi="黑体" w:eastAsia="黑体" w:cs="黑体"/>
                <w:kern w:val="0"/>
                <w:sz w:val="24"/>
                <w:szCs w:val="20"/>
                <w:highlight w:val="none"/>
                <w:lang w:val="en-US" w:eastAsia="zh-CN"/>
              </w:rPr>
              <w:t>5</w:t>
            </w:r>
            <w:r>
              <w:rPr>
                <w:rFonts w:hint="eastAsia" w:ascii="黑体" w:hAnsi="黑体" w:eastAsia="黑体" w:cs="黑体"/>
                <w:kern w:val="0"/>
                <w:sz w:val="24"/>
                <w:szCs w:val="20"/>
                <w:highlight w:val="none"/>
                <w:lang w:eastAsia="zh-Hans"/>
              </w:rPr>
              <w:t>%）</w:t>
            </w:r>
          </w:p>
        </w:tc>
        <w:tc>
          <w:tcPr>
            <w:tcW w:w="1484" w:type="dxa"/>
            <w:tcBorders>
              <w:tl2br w:val="nil"/>
              <w:tr2bl w:val="nil"/>
            </w:tcBorders>
            <w:noWrap w:val="0"/>
            <w:vAlign w:val="center"/>
          </w:tcPr>
          <w:p>
            <w:pPr>
              <w:widowControl/>
              <w:jc w:val="center"/>
              <w:rPr>
                <w:rFonts w:hint="default" w:ascii="黑体" w:hAnsi="黑体" w:eastAsia="黑体" w:cs="黑体"/>
                <w:kern w:val="0"/>
                <w:sz w:val="24"/>
                <w:szCs w:val="20"/>
                <w:highlight w:val="none"/>
                <w:lang w:val="en-US" w:eastAsia="zh-CN"/>
              </w:rPr>
            </w:pPr>
            <w:r>
              <w:rPr>
                <w:rFonts w:hint="eastAsia" w:ascii="黑体" w:hAnsi="黑体" w:eastAsia="黑体" w:cs="黑体"/>
                <w:kern w:val="0"/>
                <w:sz w:val="24"/>
                <w:szCs w:val="20"/>
                <w:highlight w:val="none"/>
              </w:rPr>
              <w:t>业绩</w:t>
            </w:r>
          </w:p>
        </w:tc>
        <w:tc>
          <w:tcPr>
            <w:tcW w:w="709" w:type="dxa"/>
            <w:tcBorders>
              <w:tl2br w:val="nil"/>
              <w:tr2bl w:val="nil"/>
            </w:tcBorders>
            <w:noWrap w:val="0"/>
            <w:vAlign w:val="center"/>
          </w:tcPr>
          <w:p>
            <w:pPr>
              <w:widowControl/>
              <w:jc w:val="center"/>
              <w:rPr>
                <w:rFonts w:hint="eastAsia" w:ascii="黑体" w:hAnsi="黑体" w:eastAsia="黑体" w:cs="黑体"/>
                <w:kern w:val="0"/>
                <w:sz w:val="24"/>
                <w:szCs w:val="20"/>
                <w:highlight w:val="none"/>
                <w:lang w:val="en-US" w:eastAsia="zh-CN" w:bidi="ar-SA"/>
              </w:rPr>
            </w:pPr>
            <w:r>
              <w:rPr>
                <w:rFonts w:hint="eastAsia" w:ascii="黑体" w:hAnsi="黑体" w:eastAsia="黑体" w:cs="黑体"/>
                <w:kern w:val="0"/>
                <w:sz w:val="24"/>
                <w:szCs w:val="20"/>
                <w:highlight w:val="none"/>
                <w:lang w:val="en-US" w:eastAsia="zh-CN"/>
              </w:rPr>
              <w:t>6</w:t>
            </w:r>
          </w:p>
        </w:tc>
        <w:tc>
          <w:tcPr>
            <w:tcW w:w="6777"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Arial" w:hAnsi="Arial" w:eastAsia="楷体_GB2312" w:cs="Arial"/>
                <w:sz w:val="24"/>
                <w:highlight w:val="none"/>
                <w:lang w:eastAsia="zh-Hans"/>
              </w:rPr>
            </w:pPr>
            <w:r>
              <w:rPr>
                <w:rFonts w:hint="eastAsia" w:ascii="Arial" w:hAnsi="Arial" w:eastAsia="楷体_GB2312" w:cs="Arial"/>
                <w:sz w:val="24"/>
                <w:highlight w:val="none"/>
                <w:lang w:val="en-US" w:eastAsia="zh-Hans"/>
              </w:rPr>
              <w:t>能够提供</w:t>
            </w:r>
            <w:r>
              <w:rPr>
                <w:rFonts w:hint="eastAsia" w:ascii="Arial" w:hAnsi="Arial" w:eastAsia="楷体_GB2312" w:cs="Arial"/>
                <w:sz w:val="24"/>
                <w:highlight w:val="none"/>
                <w:lang w:val="en-US" w:eastAsia="zh-CN"/>
              </w:rPr>
              <w:t>2018年至今实施GJB5000A</w:t>
            </w:r>
            <w:r>
              <w:rPr>
                <w:rFonts w:hint="default" w:ascii="Arial" w:hAnsi="Arial" w:eastAsia="楷体_GB2312" w:cs="Arial"/>
                <w:sz w:val="24"/>
                <w:highlight w:val="none"/>
                <w:lang w:eastAsia="zh-CN"/>
              </w:rPr>
              <w:t>/</w:t>
            </w:r>
            <w:r>
              <w:rPr>
                <w:rFonts w:hint="eastAsia" w:ascii="Arial" w:hAnsi="Arial" w:eastAsia="楷体_GB2312" w:cs="Arial"/>
                <w:sz w:val="24"/>
                <w:highlight w:val="none"/>
                <w:lang w:val="en-US" w:eastAsia="zh-CN"/>
              </w:rPr>
              <w:t>B二级及以上体系建设项目（包括平台建设和咨询服务）成功案例，</w:t>
            </w:r>
            <w:r>
              <w:rPr>
                <w:rFonts w:hint="eastAsia" w:ascii="Arial" w:hAnsi="Arial" w:eastAsia="楷体_GB2312" w:cs="Arial"/>
                <w:sz w:val="24"/>
                <w:highlight w:val="none"/>
                <w:lang w:val="en-US" w:eastAsia="zh-Hans"/>
              </w:rPr>
              <w:t>每</w:t>
            </w:r>
            <w:r>
              <w:rPr>
                <w:rFonts w:hint="eastAsia" w:ascii="Arial" w:hAnsi="Arial" w:eastAsia="楷体_GB2312" w:cs="Arial"/>
                <w:sz w:val="24"/>
                <w:highlight w:val="none"/>
                <w:lang w:val="en-US" w:eastAsia="zh-CN"/>
              </w:rPr>
              <w:t>提供</w:t>
            </w:r>
            <w:r>
              <w:rPr>
                <w:rFonts w:hint="default" w:ascii="Arial" w:hAnsi="Arial" w:eastAsia="楷体_GB2312" w:cs="Arial"/>
                <w:sz w:val="24"/>
                <w:highlight w:val="none"/>
                <w:lang w:eastAsia="zh-Hans"/>
              </w:rPr>
              <w:t>1</w:t>
            </w:r>
            <w:r>
              <w:rPr>
                <w:rFonts w:hint="eastAsia" w:ascii="Arial" w:hAnsi="Arial" w:eastAsia="楷体_GB2312" w:cs="Arial"/>
                <w:sz w:val="24"/>
                <w:highlight w:val="none"/>
                <w:lang w:val="en-US" w:eastAsia="zh-Hans"/>
              </w:rPr>
              <w:t>个</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CN"/>
              </w:rPr>
              <w:t>得</w:t>
            </w:r>
            <w:r>
              <w:rPr>
                <w:rFonts w:hint="default" w:ascii="Arial" w:hAnsi="Arial" w:eastAsia="楷体_GB2312" w:cs="Arial"/>
                <w:sz w:val="24"/>
                <w:highlight w:val="none"/>
                <w:lang w:eastAsia="zh-Hans"/>
              </w:rPr>
              <w:t>0</w:t>
            </w:r>
            <w:r>
              <w:rPr>
                <w:rFonts w:hint="eastAsia" w:ascii="Arial" w:hAnsi="Arial" w:eastAsia="楷体_GB2312" w:cs="Arial"/>
                <w:sz w:val="24"/>
                <w:highlight w:val="none"/>
                <w:lang w:val="en-US" w:eastAsia="zh-Hans"/>
              </w:rPr>
              <w:t>.</w:t>
            </w:r>
            <w:r>
              <w:rPr>
                <w:rFonts w:hint="default" w:ascii="Arial" w:hAnsi="Arial" w:eastAsia="楷体_GB2312" w:cs="Arial"/>
                <w:sz w:val="24"/>
                <w:highlight w:val="none"/>
                <w:lang w:eastAsia="zh-Hans"/>
              </w:rPr>
              <w:t>5</w:t>
            </w:r>
            <w:r>
              <w:rPr>
                <w:rFonts w:hint="eastAsia" w:ascii="Arial" w:hAnsi="Arial" w:eastAsia="楷体_GB2312" w:cs="Arial"/>
                <w:sz w:val="24"/>
                <w:highlight w:val="none"/>
                <w:lang w:val="en-US" w:eastAsia="zh-Hans"/>
              </w:rPr>
              <w:t>分</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CN"/>
              </w:rPr>
              <w:t>本项</w:t>
            </w:r>
            <w:r>
              <w:rPr>
                <w:rFonts w:hint="eastAsia" w:ascii="Arial" w:hAnsi="Arial" w:eastAsia="楷体_GB2312" w:cs="Arial"/>
                <w:sz w:val="24"/>
                <w:highlight w:val="none"/>
                <w:lang w:val="en-US" w:eastAsia="zh-Hans"/>
              </w:rPr>
              <w:t>最高</w:t>
            </w:r>
            <w:r>
              <w:rPr>
                <w:rFonts w:hint="eastAsia" w:ascii="Arial" w:hAnsi="Arial" w:eastAsia="楷体_GB2312" w:cs="Arial"/>
                <w:sz w:val="24"/>
                <w:highlight w:val="none"/>
                <w:lang w:val="en-US" w:eastAsia="zh-CN"/>
              </w:rPr>
              <w:t>得6</w:t>
            </w:r>
            <w:r>
              <w:rPr>
                <w:rFonts w:hint="eastAsia" w:ascii="Arial" w:hAnsi="Arial" w:eastAsia="楷体_GB2312" w:cs="Arial"/>
                <w:sz w:val="24"/>
                <w:highlight w:val="none"/>
                <w:lang w:val="en-US" w:eastAsia="zh-Hans"/>
              </w:rPr>
              <w:t>分</w:t>
            </w:r>
            <w:r>
              <w:rPr>
                <w:rFonts w:hint="default" w:ascii="Arial" w:hAnsi="Arial" w:eastAsia="楷体_GB2312" w:cs="Arial"/>
                <w:sz w:val="24"/>
                <w:highlight w:val="none"/>
                <w:lang w:eastAsia="zh-Hans"/>
              </w:rPr>
              <w:t>。</w:t>
            </w:r>
          </w:p>
          <w:p>
            <w:pPr>
              <w:ind w:firstLine="480" w:firstLineChars="200"/>
              <w:jc w:val="left"/>
              <w:rPr>
                <w:rFonts w:hint="eastAsia" w:ascii="Arial" w:hAnsi="Arial" w:eastAsia="楷体_GB2312" w:cs="Arial"/>
                <w:sz w:val="24"/>
                <w:highlight w:val="none"/>
                <w:lang w:val="en-US" w:eastAsia="zh-Hans"/>
              </w:rPr>
            </w:pPr>
            <w:r>
              <w:rPr>
                <w:rFonts w:hint="eastAsia" w:ascii="Arial" w:hAnsi="Arial" w:eastAsia="楷体_GB2312" w:cs="Arial"/>
                <w:sz w:val="24"/>
                <w:highlight w:val="none"/>
                <w:lang w:val="en-US" w:eastAsia="zh-Hans"/>
              </w:rPr>
              <w:t>案例以合同方式提供</w:t>
            </w:r>
            <w:r>
              <w:rPr>
                <w:rFonts w:hint="default" w:ascii="Arial" w:hAnsi="Arial" w:eastAsia="楷体_GB2312" w:cs="Arial"/>
                <w:sz w:val="24"/>
                <w:highlight w:val="none"/>
                <w:lang w:val="en-US" w:eastAsia="zh-Hans"/>
              </w:rPr>
              <w:t>，</w:t>
            </w:r>
            <w:r>
              <w:rPr>
                <w:rFonts w:hint="eastAsia" w:ascii="Arial" w:hAnsi="Arial" w:eastAsia="楷体_GB2312" w:cs="Arial"/>
                <w:sz w:val="24"/>
                <w:highlight w:val="none"/>
                <w:lang w:val="en-US" w:eastAsia="zh-CN"/>
              </w:rPr>
              <w:t>合同内容应能体现甲乙双方盖章页、合同签订时间、合同金额、合同首页等主要内容，未按上述要求提供的业绩证明均不予认可</w:t>
            </w:r>
            <w:r>
              <w:rPr>
                <w:rFonts w:hint="default" w:ascii="Arial" w:hAnsi="Arial" w:eastAsia="楷体_GB2312" w:cs="Arial"/>
                <w:sz w:val="24"/>
                <w:highlight w:val="none"/>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26" w:hRule="atLeast"/>
          <w:jc w:val="center"/>
        </w:trPr>
        <w:tc>
          <w:tcPr>
            <w:tcW w:w="1240" w:type="dxa"/>
            <w:vMerge w:val="continue"/>
            <w:tcBorders>
              <w:tl2br w:val="nil"/>
              <w:tr2bl w:val="nil"/>
            </w:tcBorders>
            <w:noWrap w:val="0"/>
            <w:vAlign w:val="center"/>
          </w:tcPr>
          <w:p>
            <w:pPr>
              <w:widowControl/>
              <w:jc w:val="center"/>
              <w:rPr>
                <w:rFonts w:hint="eastAsia"/>
                <w:highlight w:val="none"/>
                <w:lang w:val="en-US" w:eastAsia="zh-Hans"/>
              </w:rPr>
            </w:pPr>
          </w:p>
        </w:tc>
        <w:tc>
          <w:tcPr>
            <w:tcW w:w="1484" w:type="dxa"/>
            <w:tcBorders>
              <w:tl2br w:val="nil"/>
              <w:tr2bl w:val="nil"/>
            </w:tcBorders>
            <w:noWrap w:val="0"/>
            <w:vAlign w:val="center"/>
          </w:tcPr>
          <w:p>
            <w:pPr>
              <w:widowControl/>
              <w:jc w:val="center"/>
              <w:rPr>
                <w:rFonts w:hint="default" w:ascii="黑体" w:hAnsi="黑体" w:eastAsia="黑体" w:cs="黑体"/>
                <w:kern w:val="0"/>
                <w:sz w:val="24"/>
                <w:szCs w:val="20"/>
                <w:highlight w:val="none"/>
                <w:lang w:val="en-US" w:eastAsia="zh-CN"/>
              </w:rPr>
            </w:pPr>
            <w:r>
              <w:rPr>
                <w:rFonts w:hint="eastAsia" w:ascii="黑体" w:hAnsi="黑体" w:eastAsia="黑体" w:cs="黑体"/>
                <w:kern w:val="0"/>
                <w:sz w:val="24"/>
                <w:szCs w:val="20"/>
                <w:highlight w:val="none"/>
                <w:lang w:val="en-US" w:eastAsia="zh-CN"/>
              </w:rPr>
              <w:t>响应及时性</w:t>
            </w:r>
          </w:p>
        </w:tc>
        <w:tc>
          <w:tcPr>
            <w:tcW w:w="709" w:type="dxa"/>
            <w:tcBorders>
              <w:tl2br w:val="nil"/>
              <w:tr2bl w:val="nil"/>
            </w:tcBorders>
            <w:noWrap w:val="0"/>
            <w:vAlign w:val="center"/>
          </w:tcPr>
          <w:p>
            <w:pPr>
              <w:widowControl/>
              <w:jc w:val="center"/>
              <w:rPr>
                <w:rFonts w:hint="eastAsia" w:ascii="黑体" w:hAnsi="黑体" w:eastAsia="黑体" w:cs="黑体"/>
                <w:kern w:val="0"/>
                <w:sz w:val="24"/>
                <w:szCs w:val="20"/>
                <w:highlight w:val="none"/>
                <w:lang w:val="en-US" w:eastAsia="zh-CN" w:bidi="ar-SA"/>
              </w:rPr>
            </w:pPr>
            <w:r>
              <w:rPr>
                <w:rFonts w:hint="default" w:ascii="黑体" w:hAnsi="黑体" w:eastAsia="黑体" w:cs="黑体"/>
                <w:kern w:val="0"/>
                <w:sz w:val="24"/>
                <w:szCs w:val="20"/>
                <w:highlight w:val="none"/>
                <w:lang w:eastAsia="zh-CN"/>
              </w:rPr>
              <w:t>6</w:t>
            </w:r>
          </w:p>
        </w:tc>
        <w:tc>
          <w:tcPr>
            <w:tcW w:w="6777" w:type="dxa"/>
            <w:tcBorders>
              <w:tl2br w:val="nil"/>
              <w:tr2bl w:val="nil"/>
            </w:tcBorders>
            <w:noWrap w:val="0"/>
            <w:vAlign w:val="center"/>
          </w:tcPr>
          <w:p>
            <w:pPr>
              <w:numPr>
                <w:ilvl w:val="0"/>
                <w:numId w:val="26"/>
              </w:numPr>
              <w:jc w:val="left"/>
              <w:rPr>
                <w:rFonts w:hint="eastAsia" w:ascii="Arial" w:hAnsi="Arial" w:eastAsia="楷体_GB2312" w:cs="Arial"/>
                <w:sz w:val="24"/>
                <w:highlight w:val="none"/>
                <w:lang w:val="en-US" w:eastAsia="zh-Hans"/>
              </w:rPr>
            </w:pPr>
            <w:r>
              <w:rPr>
                <w:rFonts w:hint="eastAsia" w:ascii="Arial" w:hAnsi="Arial" w:eastAsia="楷体_GB2312" w:cs="Arial"/>
                <w:sz w:val="24"/>
                <w:highlight w:val="none"/>
                <w:lang w:val="en-US" w:eastAsia="zh-CN"/>
              </w:rPr>
              <w:t>咨询师能够在2小时内电话或者现场帮助甲方解决</w:t>
            </w:r>
            <w:r>
              <w:rPr>
                <w:rFonts w:hint="eastAsia" w:ascii="Arial" w:hAnsi="Arial" w:eastAsia="楷体_GB2312" w:cs="Arial"/>
                <w:sz w:val="24"/>
                <w:highlight w:val="none"/>
                <w:lang w:val="en-US" w:eastAsia="zh-Hans"/>
              </w:rPr>
              <w:t>体系运行相关</w:t>
            </w:r>
            <w:r>
              <w:rPr>
                <w:rFonts w:hint="eastAsia" w:ascii="Arial" w:hAnsi="Arial" w:eastAsia="楷体_GB2312" w:cs="Arial"/>
                <w:sz w:val="24"/>
                <w:highlight w:val="none"/>
                <w:lang w:val="en-US" w:eastAsia="zh-CN"/>
              </w:rPr>
              <w:t>问题</w:t>
            </w:r>
            <w:r>
              <w:rPr>
                <w:rFonts w:hint="eastAsia" w:ascii="Arial" w:hAnsi="Arial" w:eastAsia="楷体_GB2312" w:cs="Arial"/>
                <w:sz w:val="24"/>
                <w:highlight w:val="none"/>
                <w:lang w:val="en-US" w:eastAsia="zh-Hans"/>
              </w:rPr>
              <w:t>的</w:t>
            </w:r>
            <w:r>
              <w:rPr>
                <w:rFonts w:hint="default" w:ascii="Arial" w:hAnsi="Arial" w:eastAsia="楷体_GB2312" w:cs="Arial"/>
                <w:sz w:val="24"/>
                <w:highlight w:val="none"/>
                <w:lang w:eastAsia="zh-CN"/>
              </w:rPr>
              <w:t>，</w:t>
            </w:r>
            <w:r>
              <w:rPr>
                <w:rFonts w:hint="eastAsia" w:ascii="Arial" w:hAnsi="Arial" w:eastAsia="楷体_GB2312" w:cs="Arial"/>
                <w:sz w:val="24"/>
                <w:highlight w:val="none"/>
                <w:lang w:val="en-US" w:eastAsia="zh-CN"/>
              </w:rPr>
              <w:t>得3分。</w:t>
            </w:r>
          </w:p>
          <w:p>
            <w:pPr>
              <w:numPr>
                <w:ilvl w:val="0"/>
                <w:numId w:val="26"/>
              </w:numPr>
              <w:jc w:val="left"/>
              <w:rPr>
                <w:rFonts w:hint="eastAsia" w:ascii="Arial" w:hAnsi="Arial" w:eastAsia="楷体_GB2312" w:cs="Arial"/>
                <w:sz w:val="24"/>
                <w:highlight w:val="none"/>
                <w:lang w:val="en-US" w:eastAsia="zh-Hans"/>
              </w:rPr>
            </w:pPr>
            <w:r>
              <w:rPr>
                <w:rFonts w:hint="eastAsia" w:ascii="Arial" w:hAnsi="Arial" w:eastAsia="楷体_GB2312" w:cs="Arial"/>
                <w:sz w:val="24"/>
                <w:highlight w:val="none"/>
                <w:lang w:val="en-US" w:eastAsia="zh-Hans"/>
              </w:rPr>
              <w:t>平台技术负责人</w:t>
            </w:r>
            <w:r>
              <w:rPr>
                <w:rFonts w:hint="eastAsia" w:ascii="Arial" w:hAnsi="Arial" w:eastAsia="楷体_GB2312" w:cs="Arial"/>
                <w:sz w:val="24"/>
                <w:highlight w:val="none"/>
                <w:lang w:val="en-US" w:eastAsia="zh-CN"/>
              </w:rPr>
              <w:t>能够在2小时内电话或者现场帮助甲方解决</w:t>
            </w:r>
            <w:r>
              <w:rPr>
                <w:rFonts w:hint="eastAsia" w:ascii="Arial" w:hAnsi="Arial" w:eastAsia="楷体_GB2312" w:cs="Arial"/>
                <w:sz w:val="24"/>
                <w:highlight w:val="none"/>
                <w:lang w:val="en-US" w:eastAsia="zh-Hans"/>
              </w:rPr>
              <w:t>平台相关技术</w:t>
            </w:r>
            <w:r>
              <w:rPr>
                <w:rFonts w:hint="eastAsia" w:ascii="Arial" w:hAnsi="Arial" w:eastAsia="楷体_GB2312" w:cs="Arial"/>
                <w:sz w:val="24"/>
                <w:highlight w:val="none"/>
                <w:lang w:val="en-US" w:eastAsia="zh-CN"/>
              </w:rPr>
              <w:t>问题</w:t>
            </w:r>
            <w:r>
              <w:rPr>
                <w:rFonts w:hint="eastAsia" w:ascii="Arial" w:hAnsi="Arial" w:eastAsia="楷体_GB2312" w:cs="Arial"/>
                <w:sz w:val="24"/>
                <w:highlight w:val="none"/>
                <w:lang w:val="en-US" w:eastAsia="zh-Hans"/>
              </w:rPr>
              <w:t>的</w:t>
            </w:r>
            <w:r>
              <w:rPr>
                <w:rFonts w:hint="default" w:ascii="Arial" w:hAnsi="Arial" w:eastAsia="楷体_GB2312" w:cs="Arial"/>
                <w:sz w:val="24"/>
                <w:highlight w:val="none"/>
                <w:lang w:eastAsia="zh-CN"/>
              </w:rPr>
              <w:t>，</w:t>
            </w:r>
            <w:r>
              <w:rPr>
                <w:rFonts w:hint="eastAsia" w:ascii="Arial" w:hAnsi="Arial" w:eastAsia="楷体_GB2312" w:cs="Arial"/>
                <w:sz w:val="24"/>
                <w:highlight w:val="none"/>
                <w:lang w:val="en-US" w:eastAsia="zh-CN"/>
              </w:rPr>
              <w:t>得3分。</w:t>
            </w:r>
          </w:p>
          <w:p>
            <w:pPr>
              <w:ind w:firstLine="480" w:firstLineChars="200"/>
              <w:jc w:val="left"/>
              <w:rPr>
                <w:rFonts w:hint="eastAsia" w:ascii="Arial" w:hAnsi="Arial" w:eastAsia="楷体_GB2312" w:cs="Arial"/>
                <w:sz w:val="24"/>
                <w:highlight w:val="none"/>
                <w:lang w:val="en-US" w:eastAsia="zh-Hans"/>
              </w:rPr>
            </w:pPr>
            <w:r>
              <w:rPr>
                <w:rFonts w:hint="eastAsia" w:ascii="Arial" w:hAnsi="Arial" w:eastAsia="楷体_GB2312" w:cs="Arial"/>
                <w:sz w:val="24"/>
                <w:highlight w:val="none"/>
                <w:lang w:val="en-US" w:eastAsia="zh-Hans" w:bidi="ar-SA"/>
              </w:rPr>
              <w:t>以上要求须提供承诺函</w:t>
            </w:r>
            <w:r>
              <w:rPr>
                <w:rFonts w:hint="eastAsia" w:ascii="Arial" w:hAnsi="Arial" w:eastAsia="楷体_GB2312" w:cs="Arial"/>
                <w:sz w:val="24"/>
                <w:highlight w:val="none"/>
                <w:lang w:val="en-US" w:eastAsia="zh-CN" w:bidi="ar-SA"/>
              </w:rPr>
              <w:t>或在方案中体现</w:t>
            </w:r>
            <w:r>
              <w:rPr>
                <w:rFonts w:hint="default" w:ascii="Arial" w:hAnsi="Arial" w:eastAsia="楷体_GB2312" w:cs="Arial"/>
                <w:sz w:val="24"/>
                <w:highlight w:val="none"/>
                <w:lang w:eastAsia="zh-Hans" w:bidi="ar-SA"/>
              </w:rPr>
              <w:t>，</w:t>
            </w:r>
            <w:r>
              <w:rPr>
                <w:rFonts w:hint="eastAsia" w:ascii="Arial" w:hAnsi="Arial" w:eastAsia="楷体_GB2312" w:cs="Arial"/>
                <w:sz w:val="24"/>
                <w:highlight w:val="none"/>
                <w:lang w:val="en-US" w:eastAsia="zh-Hans" w:bidi="ar-SA"/>
              </w:rPr>
              <w:t>否则不得分</w:t>
            </w:r>
            <w:r>
              <w:rPr>
                <w:rFonts w:hint="default" w:ascii="Arial" w:hAnsi="Arial" w:eastAsia="楷体_GB2312" w:cs="Arial"/>
                <w:sz w:val="24"/>
                <w:highlight w:val="none"/>
                <w:lang w:eastAsia="zh-Hans" w:bidi="ar-S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34" w:hRule="atLeast"/>
          <w:jc w:val="center"/>
        </w:trPr>
        <w:tc>
          <w:tcPr>
            <w:tcW w:w="1240" w:type="dxa"/>
            <w:vMerge w:val="continue"/>
            <w:tcBorders>
              <w:tl2br w:val="nil"/>
              <w:tr2bl w:val="nil"/>
            </w:tcBorders>
            <w:noWrap w:val="0"/>
            <w:vAlign w:val="center"/>
          </w:tcPr>
          <w:p>
            <w:pPr>
              <w:widowControl/>
              <w:jc w:val="center"/>
              <w:rPr>
                <w:rFonts w:hint="eastAsia"/>
                <w:highlight w:val="none"/>
                <w:lang w:val="en-US" w:eastAsia="zh-Hans"/>
              </w:rPr>
            </w:pPr>
          </w:p>
        </w:tc>
        <w:tc>
          <w:tcPr>
            <w:tcW w:w="1484" w:type="dxa"/>
            <w:tcBorders>
              <w:tl2br w:val="nil"/>
              <w:tr2bl w:val="nil"/>
            </w:tcBorders>
            <w:noWrap w:val="0"/>
            <w:vAlign w:val="center"/>
          </w:tcPr>
          <w:p>
            <w:pPr>
              <w:widowControl/>
              <w:jc w:val="center"/>
              <w:rPr>
                <w:rFonts w:hint="default" w:ascii="黑体" w:hAnsi="黑体" w:eastAsia="黑体" w:cs="黑体"/>
                <w:kern w:val="0"/>
                <w:sz w:val="24"/>
                <w:szCs w:val="20"/>
                <w:highlight w:val="none"/>
                <w:lang w:val="en-US" w:eastAsia="zh-CN"/>
              </w:rPr>
            </w:pPr>
            <w:r>
              <w:rPr>
                <w:rFonts w:hint="eastAsia" w:ascii="黑体" w:hAnsi="黑体" w:eastAsia="黑体" w:cs="黑体"/>
                <w:kern w:val="0"/>
                <w:sz w:val="24"/>
                <w:szCs w:val="20"/>
                <w:highlight w:val="none"/>
                <w:lang w:val="en-US" w:eastAsia="zh-Hans"/>
              </w:rPr>
              <w:t>保质期</w:t>
            </w:r>
          </w:p>
        </w:tc>
        <w:tc>
          <w:tcPr>
            <w:tcW w:w="709" w:type="dxa"/>
            <w:tcBorders>
              <w:tl2br w:val="nil"/>
              <w:tr2bl w:val="nil"/>
            </w:tcBorders>
            <w:noWrap w:val="0"/>
            <w:vAlign w:val="center"/>
          </w:tcPr>
          <w:p>
            <w:pPr>
              <w:widowControl/>
              <w:jc w:val="center"/>
              <w:rPr>
                <w:rFonts w:hint="eastAsia" w:ascii="黑体" w:hAnsi="黑体" w:eastAsia="黑体" w:cs="黑体"/>
                <w:kern w:val="0"/>
                <w:sz w:val="24"/>
                <w:szCs w:val="20"/>
                <w:highlight w:val="none"/>
                <w:lang w:val="en-US" w:eastAsia="zh-CN" w:bidi="ar-SA"/>
              </w:rPr>
            </w:pPr>
            <w:r>
              <w:rPr>
                <w:rFonts w:hint="default" w:ascii="黑体" w:hAnsi="黑体" w:eastAsia="黑体" w:cs="黑体"/>
                <w:kern w:val="0"/>
                <w:sz w:val="24"/>
                <w:szCs w:val="20"/>
                <w:highlight w:val="none"/>
                <w:lang w:eastAsia="zh-CN"/>
              </w:rPr>
              <w:t>3</w:t>
            </w:r>
          </w:p>
        </w:tc>
        <w:tc>
          <w:tcPr>
            <w:tcW w:w="6777" w:type="dxa"/>
            <w:tcBorders>
              <w:tl2br w:val="nil"/>
              <w:tr2bl w:val="nil"/>
            </w:tcBorders>
            <w:noWrap w:val="0"/>
            <w:vAlign w:val="center"/>
          </w:tcPr>
          <w:p>
            <w:pPr>
              <w:numPr>
                <w:ilvl w:val="0"/>
                <w:numId w:val="0"/>
              </w:numPr>
              <w:ind w:left="0" w:leftChars="0" w:firstLine="0" w:firstLineChars="0"/>
              <w:jc w:val="left"/>
              <w:rPr>
                <w:rFonts w:hint="eastAsia" w:ascii="Arial" w:hAnsi="Arial" w:eastAsia="楷体_GB2312" w:cs="Arial"/>
                <w:sz w:val="24"/>
                <w:highlight w:val="none"/>
                <w:lang w:val="en-US" w:eastAsia="zh-Hans"/>
              </w:rPr>
            </w:pPr>
            <w:r>
              <w:rPr>
                <w:rFonts w:hint="eastAsia" w:ascii="Arial" w:hAnsi="Arial" w:eastAsia="楷体_GB2312" w:cs="Arial"/>
                <w:sz w:val="24"/>
                <w:highlight w:val="none"/>
                <w:lang w:val="en-US" w:eastAsia="zh-Hans" w:bidi="ar-SA"/>
              </w:rPr>
              <w:t>软件管理平台保质期</w:t>
            </w:r>
            <w:r>
              <w:rPr>
                <w:rFonts w:hint="eastAsia" w:ascii="PingFang SC" w:hAnsi="PingFang SC" w:eastAsia="PingFang SC" w:cs="PingFang SC"/>
                <w:sz w:val="24"/>
                <w:highlight w:val="none"/>
                <w:lang w:val="en-US" w:eastAsia="zh-Hans" w:bidi="ar-SA"/>
              </w:rPr>
              <w:t>≥</w:t>
            </w:r>
            <w:r>
              <w:rPr>
                <w:rFonts w:hint="eastAsia" w:ascii="Arial" w:hAnsi="Arial" w:eastAsia="楷体_GB2312" w:cs="Arial"/>
                <w:sz w:val="24"/>
                <w:highlight w:val="none"/>
                <w:lang w:val="en-US" w:eastAsia="zh-CN" w:bidi="ar-SA"/>
              </w:rPr>
              <w:t>5</w:t>
            </w:r>
            <w:r>
              <w:rPr>
                <w:rFonts w:hint="eastAsia" w:ascii="Arial" w:hAnsi="Arial" w:eastAsia="楷体_GB2312" w:cs="Arial"/>
                <w:sz w:val="24"/>
                <w:highlight w:val="none"/>
                <w:lang w:val="en-US" w:eastAsia="zh-Hans" w:bidi="ar-SA"/>
              </w:rPr>
              <w:t>年的</w:t>
            </w:r>
            <w:r>
              <w:rPr>
                <w:rFonts w:hint="default" w:ascii="Arial" w:hAnsi="Arial" w:eastAsia="楷体_GB2312" w:cs="Arial"/>
                <w:sz w:val="24"/>
                <w:highlight w:val="none"/>
                <w:lang w:eastAsia="zh-Hans" w:bidi="ar-SA"/>
              </w:rPr>
              <w:t>，</w:t>
            </w:r>
            <w:r>
              <w:rPr>
                <w:rFonts w:hint="eastAsia" w:ascii="Arial" w:hAnsi="Arial" w:eastAsia="楷体_GB2312" w:cs="Arial"/>
                <w:sz w:val="24"/>
                <w:highlight w:val="none"/>
                <w:lang w:val="en-US" w:eastAsia="zh-Hans" w:bidi="ar-SA"/>
              </w:rPr>
              <w:t>得</w:t>
            </w:r>
            <w:r>
              <w:rPr>
                <w:rFonts w:hint="default" w:ascii="Arial" w:hAnsi="Arial" w:eastAsia="楷体_GB2312" w:cs="Arial"/>
                <w:sz w:val="24"/>
                <w:highlight w:val="none"/>
                <w:lang w:eastAsia="zh-Hans" w:bidi="ar-SA"/>
              </w:rPr>
              <w:t>3</w:t>
            </w:r>
            <w:r>
              <w:rPr>
                <w:rFonts w:hint="eastAsia" w:ascii="Arial" w:hAnsi="Arial" w:eastAsia="楷体_GB2312" w:cs="Arial"/>
                <w:sz w:val="24"/>
                <w:highlight w:val="none"/>
                <w:lang w:val="en-US" w:eastAsia="zh-Hans" w:bidi="ar-SA"/>
              </w:rPr>
              <w:t>分</w:t>
            </w:r>
            <w:r>
              <w:rPr>
                <w:rFonts w:hint="default" w:ascii="Arial" w:hAnsi="Arial" w:eastAsia="楷体_GB2312" w:cs="Arial"/>
                <w:sz w:val="24"/>
                <w:highlight w:val="none"/>
                <w:lang w:eastAsia="zh-Hans" w:bidi="ar-SA"/>
              </w:rPr>
              <w:t>；</w:t>
            </w:r>
            <w:r>
              <w:rPr>
                <w:rFonts w:hint="eastAsia" w:ascii="Arial" w:hAnsi="Arial" w:eastAsia="楷体_GB2312" w:cs="Arial"/>
                <w:sz w:val="24"/>
                <w:highlight w:val="none"/>
                <w:lang w:val="en-US" w:eastAsia="zh-Hans" w:bidi="ar-SA"/>
              </w:rPr>
              <w:t>本项提供承诺函</w:t>
            </w:r>
            <w:r>
              <w:rPr>
                <w:rFonts w:hint="eastAsia" w:ascii="Arial" w:hAnsi="Arial" w:eastAsia="楷体_GB2312" w:cs="Arial"/>
                <w:sz w:val="24"/>
                <w:highlight w:val="none"/>
                <w:lang w:val="en-US" w:eastAsia="zh-CN" w:bidi="ar-SA"/>
              </w:rPr>
              <w:t>或在方案中体现</w:t>
            </w:r>
            <w:r>
              <w:rPr>
                <w:rFonts w:hint="default" w:ascii="Arial" w:hAnsi="Arial" w:eastAsia="楷体_GB2312" w:cs="Arial"/>
                <w:sz w:val="24"/>
                <w:highlight w:val="none"/>
                <w:lang w:eastAsia="zh-Hans" w:bidi="ar-SA"/>
              </w:rPr>
              <w:t>，</w:t>
            </w:r>
            <w:r>
              <w:rPr>
                <w:rFonts w:hint="eastAsia" w:ascii="Arial" w:hAnsi="Arial" w:eastAsia="楷体_GB2312" w:cs="Arial"/>
                <w:sz w:val="24"/>
                <w:highlight w:val="none"/>
                <w:lang w:val="en-US" w:eastAsia="zh-Hans" w:bidi="ar-SA"/>
              </w:rPr>
              <w:t>否则不得分</w:t>
            </w:r>
            <w:r>
              <w:rPr>
                <w:rFonts w:hint="default" w:ascii="Arial" w:hAnsi="Arial" w:eastAsia="楷体_GB2312" w:cs="Arial"/>
                <w:sz w:val="24"/>
                <w:highlight w:val="none"/>
                <w:lang w:eastAsia="zh-Hans" w:bidi="ar-SA"/>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661" w:hRule="atLeast"/>
          <w:jc w:val="center"/>
        </w:trPr>
        <w:tc>
          <w:tcPr>
            <w:tcW w:w="1240" w:type="dxa"/>
            <w:vMerge w:val="restart"/>
            <w:tcBorders>
              <w:tl2br w:val="nil"/>
              <w:tr2bl w:val="nil"/>
            </w:tcBorders>
            <w:noWrap w:val="0"/>
            <w:vAlign w:val="center"/>
          </w:tcPr>
          <w:p>
            <w:pPr>
              <w:widowControl/>
              <w:jc w:val="center"/>
              <w:rPr>
                <w:rFonts w:hint="eastAsia" w:ascii="黑体" w:hAnsi="黑体" w:eastAsia="黑体" w:cs="黑体"/>
                <w:kern w:val="0"/>
                <w:sz w:val="24"/>
                <w:szCs w:val="20"/>
                <w:highlight w:val="none"/>
                <w:lang w:val="en-US" w:eastAsia="zh-Hans"/>
              </w:rPr>
            </w:pPr>
            <w:r>
              <w:rPr>
                <w:rFonts w:hint="eastAsia" w:ascii="黑体" w:hAnsi="黑体" w:eastAsia="黑体" w:cs="黑体"/>
                <w:kern w:val="0"/>
                <w:sz w:val="24"/>
                <w:szCs w:val="20"/>
                <w:highlight w:val="none"/>
                <w:lang w:val="en-US" w:eastAsia="zh-Hans"/>
              </w:rPr>
              <w:t>技术</w:t>
            </w:r>
            <w:r>
              <w:rPr>
                <w:rFonts w:hint="eastAsia" w:ascii="黑体" w:hAnsi="黑体" w:eastAsia="黑体" w:cs="黑体"/>
                <w:kern w:val="0"/>
                <w:sz w:val="24"/>
                <w:szCs w:val="20"/>
                <w:highlight w:val="none"/>
                <w:lang w:val="en-US" w:eastAsia="zh-CN"/>
              </w:rPr>
              <w:t>、服务</w:t>
            </w:r>
            <w:r>
              <w:rPr>
                <w:rFonts w:hint="eastAsia" w:ascii="黑体" w:hAnsi="黑体" w:eastAsia="黑体" w:cs="黑体"/>
                <w:kern w:val="0"/>
                <w:sz w:val="24"/>
                <w:szCs w:val="20"/>
                <w:highlight w:val="none"/>
                <w:lang w:val="en-US" w:eastAsia="zh-Hans"/>
              </w:rPr>
              <w:t>评分</w:t>
            </w:r>
            <w:r>
              <w:rPr>
                <w:rFonts w:hint="eastAsia" w:ascii="黑体" w:hAnsi="黑体" w:eastAsia="黑体" w:cs="黑体"/>
                <w:kern w:val="0"/>
                <w:sz w:val="24"/>
                <w:szCs w:val="20"/>
                <w:highlight w:val="none"/>
                <w:lang w:eastAsia="zh-Hans"/>
              </w:rPr>
              <w:t>（</w:t>
            </w:r>
            <w:r>
              <w:rPr>
                <w:rFonts w:hint="default" w:ascii="黑体" w:hAnsi="黑体" w:eastAsia="黑体" w:cs="黑体"/>
                <w:kern w:val="0"/>
                <w:sz w:val="24"/>
                <w:szCs w:val="20"/>
                <w:highlight w:val="none"/>
                <w:lang w:eastAsia="zh-CN"/>
              </w:rPr>
              <w:t>7</w:t>
            </w:r>
            <w:r>
              <w:rPr>
                <w:rFonts w:hint="eastAsia" w:ascii="黑体" w:hAnsi="黑体" w:eastAsia="黑体" w:cs="黑体"/>
                <w:kern w:val="0"/>
                <w:sz w:val="24"/>
                <w:szCs w:val="20"/>
                <w:highlight w:val="none"/>
                <w:lang w:val="en-US" w:eastAsia="zh-CN"/>
              </w:rPr>
              <w:t>0</w:t>
            </w:r>
            <w:r>
              <w:rPr>
                <w:rFonts w:hint="eastAsia" w:ascii="黑体" w:hAnsi="黑体" w:eastAsia="黑体" w:cs="黑体"/>
                <w:kern w:val="0"/>
                <w:sz w:val="24"/>
                <w:szCs w:val="20"/>
                <w:highlight w:val="none"/>
                <w:lang w:eastAsia="zh-Hans"/>
              </w:rPr>
              <w:t>%）</w:t>
            </w:r>
          </w:p>
          <w:p>
            <w:pPr>
              <w:widowControl/>
              <w:jc w:val="center"/>
              <w:rPr>
                <w:rFonts w:hint="eastAsia"/>
                <w:highlight w:val="none"/>
                <w:lang w:val="en-US" w:eastAsia="zh-Hans"/>
              </w:rPr>
            </w:pPr>
          </w:p>
          <w:p>
            <w:pPr>
              <w:pStyle w:val="4"/>
              <w:rPr>
                <w:rFonts w:hint="eastAsia"/>
                <w:highlight w:val="none"/>
                <w:lang w:val="en-US" w:eastAsia="zh-Hans"/>
              </w:rPr>
            </w:pPr>
          </w:p>
        </w:tc>
        <w:tc>
          <w:tcPr>
            <w:tcW w:w="1484" w:type="dxa"/>
            <w:tcBorders>
              <w:tl2br w:val="nil"/>
              <w:tr2bl w:val="nil"/>
            </w:tcBorders>
            <w:noWrap w:val="0"/>
            <w:vAlign w:val="center"/>
          </w:tcPr>
          <w:p>
            <w:pPr>
              <w:widowControl/>
              <w:jc w:val="center"/>
              <w:rPr>
                <w:rFonts w:hint="eastAsia" w:ascii="黑体" w:hAnsi="黑体" w:eastAsia="黑体" w:cs="黑体"/>
                <w:kern w:val="0"/>
                <w:sz w:val="24"/>
                <w:szCs w:val="20"/>
                <w:highlight w:val="none"/>
                <w:lang w:val="en-US" w:eastAsia="zh-Hans" w:bidi="ar-SA"/>
              </w:rPr>
            </w:pPr>
            <w:r>
              <w:rPr>
                <w:rFonts w:hint="default" w:ascii="黑体" w:hAnsi="黑体" w:eastAsia="黑体" w:cs="黑体"/>
                <w:kern w:val="0"/>
                <w:sz w:val="24"/>
                <w:szCs w:val="20"/>
                <w:highlight w:val="none"/>
                <w:lang w:val="en-US" w:eastAsia="zh-CN"/>
              </w:rPr>
              <w:t>GJB 5000B</w:t>
            </w:r>
            <w:r>
              <w:rPr>
                <w:rFonts w:hint="eastAsia" w:ascii="黑体" w:hAnsi="黑体" w:eastAsia="黑体" w:cs="黑体"/>
                <w:kern w:val="0"/>
                <w:sz w:val="24"/>
                <w:szCs w:val="20"/>
                <w:highlight w:val="none"/>
                <w:lang w:val="en-US" w:eastAsia="zh-Hans"/>
              </w:rPr>
              <w:t>换版服务</w:t>
            </w:r>
            <w:r>
              <w:rPr>
                <w:rFonts w:hint="eastAsia" w:ascii="黑体" w:hAnsi="黑体" w:eastAsia="黑体" w:cs="黑体"/>
                <w:kern w:val="0"/>
                <w:sz w:val="24"/>
                <w:szCs w:val="20"/>
                <w:highlight w:val="none"/>
                <w:lang w:val="en-US" w:eastAsia="zh-CN"/>
              </w:rPr>
              <w:t>实施方案或实施计划</w:t>
            </w:r>
          </w:p>
        </w:tc>
        <w:tc>
          <w:tcPr>
            <w:tcW w:w="709" w:type="dxa"/>
            <w:tcBorders>
              <w:tl2br w:val="nil"/>
              <w:tr2bl w:val="nil"/>
            </w:tcBorders>
            <w:noWrap w:val="0"/>
            <w:vAlign w:val="center"/>
          </w:tcPr>
          <w:p>
            <w:pPr>
              <w:widowControl/>
              <w:jc w:val="center"/>
              <w:rPr>
                <w:rFonts w:hint="default" w:ascii="黑体" w:hAnsi="黑体" w:eastAsia="黑体" w:cs="黑体"/>
                <w:kern w:val="0"/>
                <w:sz w:val="24"/>
                <w:szCs w:val="20"/>
                <w:highlight w:val="none"/>
                <w:lang w:val="en-US" w:eastAsia="zh-CN" w:bidi="ar-SA"/>
              </w:rPr>
            </w:pPr>
            <w:r>
              <w:rPr>
                <w:rFonts w:hint="eastAsia" w:ascii="黑体" w:hAnsi="黑体" w:eastAsia="黑体" w:cs="黑体"/>
                <w:kern w:val="0"/>
                <w:sz w:val="24"/>
                <w:szCs w:val="20"/>
                <w:highlight w:val="none"/>
                <w:lang w:val="en-US" w:eastAsia="zh-CN" w:bidi="ar-SA"/>
              </w:rPr>
              <w:t>20</w:t>
            </w:r>
          </w:p>
        </w:tc>
        <w:tc>
          <w:tcPr>
            <w:tcW w:w="6777" w:type="dxa"/>
            <w:tcBorders>
              <w:tl2br w:val="nil"/>
              <w:tr2bl w:val="nil"/>
            </w:tcBorders>
            <w:noWrap w:val="0"/>
            <w:vAlign w:val="center"/>
          </w:tcPr>
          <w:p>
            <w:pPr>
              <w:numPr>
                <w:ilvl w:val="0"/>
                <w:numId w:val="0"/>
              </w:numPr>
              <w:jc w:val="left"/>
              <w:rPr>
                <w:rFonts w:hint="default" w:ascii="Arial" w:hAnsi="Arial" w:eastAsia="楷体_GB2312" w:cs="Arial"/>
                <w:sz w:val="24"/>
                <w:highlight w:val="none"/>
                <w:lang w:val="en-US" w:eastAsia="zh-CN"/>
              </w:rPr>
            </w:pPr>
            <w:r>
              <w:rPr>
                <w:rFonts w:hint="eastAsia" w:ascii="Arial" w:hAnsi="Arial" w:eastAsia="楷体_GB2312" w:cs="Arial"/>
                <w:sz w:val="24"/>
                <w:highlight w:val="none"/>
                <w:lang w:val="en-US" w:eastAsia="zh-CN"/>
              </w:rPr>
              <w:t>供应商</w:t>
            </w:r>
            <w:r>
              <w:rPr>
                <w:rFonts w:hint="eastAsia" w:ascii="Arial" w:hAnsi="Arial" w:eastAsia="楷体_GB2312" w:cs="Arial"/>
                <w:sz w:val="24"/>
                <w:highlight w:val="none"/>
                <w:lang w:val="en-US" w:eastAsia="zh-Hans"/>
              </w:rPr>
              <w:t>根据本项目特点，提供</w:t>
            </w:r>
            <w:r>
              <w:rPr>
                <w:rFonts w:hint="default" w:ascii="Arial" w:hAnsi="Arial" w:eastAsia="楷体_GB2312" w:cs="Arial"/>
                <w:sz w:val="24"/>
                <w:highlight w:val="none"/>
                <w:lang w:val="en-US" w:eastAsia="zh-CN"/>
              </w:rPr>
              <w:t>GJB 5000B</w:t>
            </w:r>
            <w:r>
              <w:rPr>
                <w:rFonts w:hint="eastAsia" w:ascii="Arial" w:hAnsi="Arial" w:eastAsia="楷体_GB2312" w:cs="Arial"/>
                <w:sz w:val="24"/>
                <w:highlight w:val="none"/>
                <w:lang w:val="en-US" w:eastAsia="zh-Hans"/>
              </w:rPr>
              <w:t>换版服务</w:t>
            </w:r>
            <w:r>
              <w:rPr>
                <w:rFonts w:hint="eastAsia" w:ascii="Arial" w:hAnsi="Arial" w:eastAsia="楷体_GB2312" w:cs="Arial"/>
                <w:sz w:val="24"/>
                <w:highlight w:val="none"/>
                <w:lang w:val="en-US" w:eastAsia="zh-CN"/>
              </w:rPr>
              <w:t>实施方案或实施计划，有阶段性工作目标和工作内容，</w:t>
            </w:r>
            <w:r>
              <w:rPr>
                <w:rFonts w:hint="eastAsia" w:ascii="Arial" w:hAnsi="Arial" w:eastAsia="楷体_GB2312" w:cs="Arial"/>
                <w:sz w:val="24"/>
                <w:highlight w:val="none"/>
                <w:lang w:val="en-US" w:eastAsia="zh-Hans"/>
              </w:rPr>
              <w:t>至少包含但不限于：</w:t>
            </w:r>
            <w:r>
              <w:rPr>
                <w:rFonts w:hint="eastAsia" w:ascii="Arial" w:hAnsi="Arial" w:eastAsia="楷体_GB2312" w:cs="Arial"/>
                <w:sz w:val="24"/>
                <w:highlight w:val="none"/>
                <w:lang w:val="en-US" w:eastAsia="zh-CN"/>
              </w:rPr>
              <w:t>①</w:t>
            </w:r>
            <w:r>
              <w:rPr>
                <w:rFonts w:hint="eastAsia" w:ascii="Arial" w:hAnsi="Arial" w:eastAsia="楷体_GB2312" w:cs="Arial"/>
                <w:sz w:val="24"/>
                <w:highlight w:val="none"/>
                <w:lang w:val="zh-CN" w:eastAsia="zh-Hans"/>
              </w:rPr>
              <w:t>GJB 5000B</w:t>
            </w:r>
            <w:r>
              <w:rPr>
                <w:rFonts w:hint="eastAsia" w:ascii="Arial" w:hAnsi="Arial" w:eastAsia="楷体_GB2312" w:cs="Arial"/>
                <w:sz w:val="24"/>
                <w:highlight w:val="none"/>
                <w:lang w:val="en-US" w:eastAsia="zh-Hans"/>
              </w:rPr>
              <w:t>换版咨询和培训服务</w:t>
            </w:r>
            <w:r>
              <w:rPr>
                <w:rFonts w:hint="eastAsia" w:ascii="Arial" w:hAnsi="Arial" w:eastAsia="楷体_GB2312" w:cs="Arial"/>
                <w:sz w:val="24"/>
                <w:highlight w:val="none"/>
                <w:lang w:val="en-US" w:eastAsia="zh-CN"/>
              </w:rPr>
              <w:t>方案；②软件管理平台技术支持服务方案；③软件管理平台设计、部署、运行、售后方案；</w:t>
            </w:r>
            <w:r>
              <w:rPr>
                <w:rFonts w:hint="eastAsia" w:ascii="Arial" w:hAnsi="Arial" w:eastAsia="楷体_GB2312" w:cs="Arial"/>
                <w:sz w:val="24"/>
                <w:highlight w:val="none"/>
                <w:lang w:val="en-US" w:eastAsia="zh-Hans"/>
              </w:rPr>
              <w:t>④</w:t>
            </w:r>
            <w:r>
              <w:rPr>
                <w:rFonts w:hint="eastAsia" w:ascii="Arial" w:hAnsi="Arial" w:eastAsia="楷体_GB2312" w:cs="Arial"/>
                <w:sz w:val="24"/>
                <w:highlight w:val="none"/>
                <w:lang w:val="en-US" w:eastAsia="zh-CN"/>
              </w:rPr>
              <w:t>风险控制</w:t>
            </w:r>
            <w:r>
              <w:rPr>
                <w:rFonts w:hint="eastAsia" w:ascii="Arial" w:hAnsi="Arial" w:eastAsia="楷体_GB2312" w:cs="Arial"/>
                <w:sz w:val="24"/>
                <w:highlight w:val="none"/>
                <w:lang w:val="en-US" w:eastAsia="zh-Hans"/>
              </w:rPr>
              <w:t>措施；⑤应急方案。</w:t>
            </w:r>
          </w:p>
          <w:p>
            <w:pPr>
              <w:numPr>
                <w:ilvl w:val="0"/>
                <w:numId w:val="0"/>
              </w:numPr>
              <w:jc w:val="left"/>
              <w:rPr>
                <w:rFonts w:hint="default" w:ascii="Arial" w:hAnsi="Arial" w:eastAsia="楷体_GB2312" w:cs="Arial"/>
                <w:sz w:val="24"/>
                <w:highlight w:val="none"/>
                <w:lang w:eastAsia="zh-Hans" w:bidi="ar-SA"/>
              </w:rPr>
            </w:pPr>
            <w:r>
              <w:rPr>
                <w:rFonts w:hint="eastAsia" w:ascii="Arial" w:hAnsi="Arial" w:eastAsia="楷体_GB2312" w:cs="Arial"/>
                <w:sz w:val="24"/>
                <w:highlight w:val="none"/>
                <w:lang w:val="en-US" w:eastAsia="zh-Hans"/>
              </w:rPr>
              <w:t xml:space="preserve">以上 </w:t>
            </w:r>
            <w:r>
              <w:rPr>
                <w:rFonts w:hint="eastAsia" w:ascii="Arial" w:hAnsi="Arial" w:eastAsia="楷体_GB2312" w:cs="Arial"/>
                <w:sz w:val="24"/>
                <w:highlight w:val="none"/>
                <w:lang w:val="en-US" w:eastAsia="zh-CN"/>
              </w:rPr>
              <w:t>5</w:t>
            </w:r>
            <w:r>
              <w:rPr>
                <w:rFonts w:hint="eastAsia" w:ascii="Arial" w:hAnsi="Arial" w:eastAsia="楷体_GB2312" w:cs="Arial"/>
                <w:sz w:val="24"/>
                <w:highlight w:val="none"/>
                <w:lang w:val="en-US" w:eastAsia="zh-Hans"/>
              </w:rPr>
              <w:t>项内容齐全、满足本项目要求、具有可执行性、且有利于本项目实施得</w:t>
            </w:r>
            <w:r>
              <w:rPr>
                <w:rFonts w:hint="eastAsia" w:ascii="Arial" w:hAnsi="Arial" w:eastAsia="楷体_GB2312" w:cs="Arial"/>
                <w:sz w:val="24"/>
                <w:highlight w:val="none"/>
                <w:lang w:val="en-US" w:eastAsia="zh-CN"/>
              </w:rPr>
              <w:t>20</w:t>
            </w:r>
            <w:r>
              <w:rPr>
                <w:rFonts w:hint="eastAsia" w:ascii="Arial" w:hAnsi="Arial" w:eastAsia="楷体_GB2312" w:cs="Arial"/>
                <w:sz w:val="24"/>
                <w:highlight w:val="none"/>
                <w:lang w:val="en-US" w:eastAsia="zh-Hans"/>
              </w:rPr>
              <w:t>分，</w:t>
            </w:r>
            <w:r>
              <w:rPr>
                <w:rFonts w:hint="eastAsia" w:ascii="Arial" w:hAnsi="Arial" w:eastAsia="楷体_GB2312" w:cs="Arial"/>
                <w:sz w:val="24"/>
                <w:highlight w:val="none"/>
                <w:lang w:val="en-US" w:eastAsia="zh-CN"/>
              </w:rPr>
              <w:t xml:space="preserve"> 每有一项有偏差或者</w:t>
            </w:r>
            <w:r>
              <w:rPr>
                <w:rFonts w:hint="eastAsia" w:ascii="Arial" w:hAnsi="Arial" w:eastAsia="楷体_GB2312" w:cs="Arial"/>
                <w:sz w:val="24"/>
                <w:highlight w:val="none"/>
                <w:lang w:val="en-US" w:eastAsia="zh-Hans"/>
              </w:rPr>
              <w:t>方案不完善</w:t>
            </w:r>
            <w:r>
              <w:rPr>
                <w:rFonts w:hint="eastAsia" w:ascii="Arial" w:hAnsi="Arial" w:eastAsia="楷体_GB2312" w:cs="Arial"/>
                <w:sz w:val="24"/>
                <w:highlight w:val="none"/>
                <w:lang w:val="en-US" w:eastAsia="zh-CN"/>
              </w:rPr>
              <w:t>的扣2分，</w:t>
            </w:r>
            <w:r>
              <w:rPr>
                <w:rFonts w:hint="eastAsia" w:ascii="Arial" w:hAnsi="Arial" w:eastAsia="楷体_GB2312" w:cs="Arial"/>
                <w:sz w:val="24"/>
                <w:highlight w:val="none"/>
                <w:lang w:val="en-US" w:eastAsia="zh-Hans"/>
              </w:rPr>
              <w:t>每有一项</w:t>
            </w:r>
            <w:r>
              <w:rPr>
                <w:rFonts w:hint="eastAsia" w:ascii="Arial" w:hAnsi="Arial" w:eastAsia="楷体_GB2312" w:cs="Arial"/>
                <w:sz w:val="24"/>
                <w:highlight w:val="none"/>
                <w:lang w:val="en-US" w:eastAsia="zh-CN"/>
              </w:rPr>
              <w:t>不提供</w:t>
            </w:r>
            <w:r>
              <w:rPr>
                <w:rFonts w:hint="eastAsia" w:ascii="Arial" w:hAnsi="Arial" w:eastAsia="楷体_GB2312" w:cs="Arial"/>
                <w:sz w:val="24"/>
                <w:highlight w:val="none"/>
                <w:lang w:val="en-US" w:eastAsia="zh-Hans"/>
              </w:rPr>
              <w:t xml:space="preserve">或与项目实际不符扣 </w:t>
            </w:r>
            <w:r>
              <w:rPr>
                <w:rFonts w:hint="eastAsia" w:ascii="Arial" w:hAnsi="Arial" w:eastAsia="楷体_GB2312" w:cs="Arial"/>
                <w:sz w:val="24"/>
                <w:highlight w:val="none"/>
                <w:lang w:val="en-US" w:eastAsia="zh-CN"/>
              </w:rPr>
              <w:t>4</w:t>
            </w:r>
            <w:r>
              <w:rPr>
                <w:rFonts w:hint="eastAsia" w:ascii="Arial" w:hAnsi="Arial" w:eastAsia="楷体_GB2312" w:cs="Arial"/>
                <w:sz w:val="24"/>
                <w:highlight w:val="none"/>
                <w:lang w:val="en-US" w:eastAsia="zh-Hans"/>
              </w:rPr>
              <w:t>分，扣完为止。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27" w:hRule="atLeast"/>
          <w:jc w:val="center"/>
        </w:trPr>
        <w:tc>
          <w:tcPr>
            <w:tcW w:w="1240" w:type="dxa"/>
            <w:vMerge w:val="continue"/>
            <w:tcBorders>
              <w:tl2br w:val="nil"/>
              <w:tr2bl w:val="nil"/>
            </w:tcBorders>
            <w:noWrap w:val="0"/>
            <w:vAlign w:val="center"/>
          </w:tcPr>
          <w:p>
            <w:pPr>
              <w:pStyle w:val="4"/>
              <w:rPr>
                <w:rFonts w:hint="eastAsia"/>
                <w:highlight w:val="none"/>
                <w:lang w:val="en-US" w:eastAsia="zh-Hans"/>
              </w:rPr>
            </w:pPr>
          </w:p>
        </w:tc>
        <w:tc>
          <w:tcPr>
            <w:tcW w:w="1484" w:type="dxa"/>
            <w:tcBorders>
              <w:tl2br w:val="nil"/>
              <w:tr2bl w:val="nil"/>
            </w:tcBorders>
            <w:noWrap w:val="0"/>
            <w:vAlign w:val="center"/>
          </w:tcPr>
          <w:p>
            <w:pPr>
              <w:widowControl/>
              <w:jc w:val="center"/>
              <w:rPr>
                <w:rFonts w:hint="eastAsia" w:ascii="黑体" w:hAnsi="黑体" w:eastAsia="黑体" w:cs="黑体"/>
                <w:kern w:val="0"/>
                <w:sz w:val="24"/>
                <w:szCs w:val="20"/>
                <w:highlight w:val="none"/>
                <w:lang w:val="en-US" w:eastAsia="zh-CN" w:bidi="ar-SA"/>
              </w:rPr>
            </w:pPr>
            <w:r>
              <w:rPr>
                <w:rFonts w:hint="eastAsia" w:ascii="黑体" w:hAnsi="黑体" w:eastAsia="黑体" w:cs="黑体"/>
                <w:kern w:val="0"/>
                <w:sz w:val="24"/>
                <w:szCs w:val="20"/>
                <w:highlight w:val="none"/>
                <w:lang w:val="en-US" w:eastAsia="zh-CN"/>
              </w:rPr>
              <w:t>咨询</w:t>
            </w:r>
            <w:r>
              <w:rPr>
                <w:rFonts w:hint="eastAsia" w:ascii="黑体" w:hAnsi="黑体" w:eastAsia="黑体" w:cs="黑体"/>
                <w:kern w:val="0"/>
                <w:sz w:val="24"/>
                <w:szCs w:val="20"/>
                <w:highlight w:val="none"/>
                <w:lang w:val="en-US" w:eastAsia="zh-Hans"/>
              </w:rPr>
              <w:t>能力</w:t>
            </w:r>
          </w:p>
        </w:tc>
        <w:tc>
          <w:tcPr>
            <w:tcW w:w="709" w:type="dxa"/>
            <w:tcBorders>
              <w:tl2br w:val="nil"/>
              <w:tr2bl w:val="nil"/>
            </w:tcBorders>
            <w:noWrap w:val="0"/>
            <w:vAlign w:val="center"/>
          </w:tcPr>
          <w:p>
            <w:pPr>
              <w:widowControl/>
              <w:jc w:val="center"/>
              <w:rPr>
                <w:rFonts w:hint="default" w:ascii="黑体" w:hAnsi="黑体" w:eastAsia="黑体" w:cs="黑体"/>
                <w:kern w:val="0"/>
                <w:sz w:val="24"/>
                <w:szCs w:val="20"/>
                <w:highlight w:val="none"/>
                <w:lang w:eastAsia="zh-CN" w:bidi="ar-SA"/>
              </w:rPr>
            </w:pPr>
            <w:r>
              <w:rPr>
                <w:rFonts w:hint="eastAsia" w:ascii="黑体" w:hAnsi="黑体" w:eastAsia="黑体" w:cs="黑体"/>
                <w:kern w:val="0"/>
                <w:sz w:val="24"/>
                <w:szCs w:val="20"/>
                <w:highlight w:val="none"/>
                <w:lang w:val="en-US" w:eastAsia="zh-CN"/>
              </w:rPr>
              <w:t>5</w:t>
            </w:r>
          </w:p>
        </w:tc>
        <w:tc>
          <w:tcPr>
            <w:tcW w:w="6777" w:type="dxa"/>
            <w:tcBorders>
              <w:tl2br w:val="nil"/>
              <w:tr2bl w:val="nil"/>
            </w:tcBorders>
            <w:noWrap w:val="0"/>
            <w:vAlign w:val="center"/>
          </w:tcPr>
          <w:p>
            <w:pPr>
              <w:numPr>
                <w:ilvl w:val="0"/>
                <w:numId w:val="0"/>
              </w:numPr>
              <w:jc w:val="left"/>
              <w:rPr>
                <w:rFonts w:hint="default" w:ascii="Arial" w:hAnsi="Arial" w:eastAsia="楷体_GB2312" w:cs="Arial"/>
                <w:sz w:val="24"/>
                <w:highlight w:val="none"/>
                <w:lang w:eastAsia="zh-CN"/>
              </w:rPr>
            </w:pPr>
            <w:r>
              <w:rPr>
                <w:rFonts w:hint="eastAsia" w:ascii="Arial" w:hAnsi="Arial" w:eastAsia="楷体_GB2312" w:cs="Arial"/>
                <w:sz w:val="24"/>
                <w:highlight w:val="none"/>
                <w:lang w:val="en-US" w:eastAsia="zh-CN"/>
              </w:rPr>
              <w:t>供应商</w:t>
            </w:r>
            <w:r>
              <w:rPr>
                <w:rFonts w:hint="eastAsia" w:ascii="Arial" w:hAnsi="Arial" w:eastAsia="楷体_GB2312" w:cs="Arial"/>
                <w:sz w:val="24"/>
                <w:highlight w:val="none"/>
                <w:lang w:val="en-US" w:eastAsia="zh-Hans"/>
              </w:rPr>
              <w:t>为</w:t>
            </w:r>
            <w:r>
              <w:rPr>
                <w:rFonts w:hint="eastAsia" w:ascii="Arial" w:hAnsi="Arial" w:eastAsia="楷体_GB2312" w:cs="Arial"/>
                <w:sz w:val="24"/>
                <w:highlight w:val="none"/>
                <w:lang w:val="en-US" w:eastAsia="zh-CN"/>
              </w:rPr>
              <w:t>采购人</w:t>
            </w:r>
            <w:r>
              <w:rPr>
                <w:rFonts w:hint="eastAsia" w:ascii="Arial" w:hAnsi="Arial" w:eastAsia="楷体_GB2312" w:cs="Arial"/>
                <w:sz w:val="24"/>
                <w:highlight w:val="none"/>
                <w:lang w:val="en-US" w:eastAsia="zh-Hans"/>
              </w:rPr>
              <w:t>指定的咨询师具备五</w:t>
            </w:r>
            <w:r>
              <w:rPr>
                <w:rFonts w:hint="default" w:ascii="Arial" w:hAnsi="Arial" w:eastAsia="楷体_GB2312" w:cs="Arial"/>
                <w:sz w:val="24"/>
                <w:highlight w:val="none"/>
              </w:rPr>
              <w:t>年以上GJB 5000A/B</w:t>
            </w:r>
            <w:r>
              <w:rPr>
                <w:rFonts w:hint="eastAsia" w:ascii="Arial" w:hAnsi="Arial" w:eastAsia="楷体_GB2312" w:cs="Arial"/>
                <w:sz w:val="24"/>
                <w:highlight w:val="none"/>
                <w:lang w:val="en-US" w:eastAsia="zh-CN"/>
              </w:rPr>
              <w:t>咨询</w:t>
            </w:r>
            <w:r>
              <w:rPr>
                <w:rFonts w:hint="default" w:ascii="Arial" w:hAnsi="Arial" w:eastAsia="楷体_GB2312" w:cs="Arial"/>
                <w:sz w:val="24"/>
                <w:highlight w:val="none"/>
              </w:rPr>
              <w:t>经历（需提供</w:t>
            </w:r>
            <w:r>
              <w:rPr>
                <w:rFonts w:hint="eastAsia" w:ascii="Arial" w:hAnsi="Arial" w:eastAsia="楷体_GB2312" w:cs="Arial"/>
                <w:sz w:val="24"/>
                <w:highlight w:val="none"/>
                <w:lang w:val="en-US" w:eastAsia="zh-CN"/>
              </w:rPr>
              <w:t>咨询师的个人简历以及提供咨询服务</w:t>
            </w:r>
            <w:r>
              <w:rPr>
                <w:rFonts w:hint="default" w:ascii="Arial" w:hAnsi="Arial" w:eastAsia="楷体_GB2312" w:cs="Arial"/>
                <w:sz w:val="24"/>
                <w:highlight w:val="none"/>
              </w:rPr>
              <w:t>的</w:t>
            </w:r>
            <w:r>
              <w:rPr>
                <w:rFonts w:hint="eastAsia" w:ascii="Arial" w:hAnsi="Arial" w:eastAsia="楷体_GB2312" w:cs="Arial"/>
                <w:sz w:val="24"/>
                <w:highlight w:val="none"/>
                <w:lang w:val="en-US" w:eastAsia="zh-CN"/>
              </w:rPr>
              <w:t>合同</w:t>
            </w:r>
            <w:r>
              <w:rPr>
                <w:rFonts w:hint="default" w:ascii="Arial" w:hAnsi="Arial" w:eastAsia="楷体_GB2312" w:cs="Arial"/>
                <w:sz w:val="24"/>
                <w:highlight w:val="none"/>
              </w:rPr>
              <w:t>清单作为证明材料），</w:t>
            </w:r>
            <w:r>
              <w:rPr>
                <w:rFonts w:hint="eastAsia" w:ascii="Arial" w:hAnsi="Arial" w:eastAsia="楷体_GB2312" w:cs="Arial"/>
                <w:sz w:val="24"/>
                <w:highlight w:val="none"/>
                <w:lang w:val="en-US" w:eastAsia="zh-Hans"/>
              </w:rPr>
              <w:t>得</w:t>
            </w:r>
            <w:r>
              <w:rPr>
                <w:rFonts w:hint="eastAsia" w:ascii="Arial" w:hAnsi="Arial" w:eastAsia="楷体_GB2312" w:cs="Arial"/>
                <w:sz w:val="24"/>
                <w:highlight w:val="none"/>
                <w:lang w:val="en-US" w:eastAsia="zh-CN"/>
              </w:rPr>
              <w:t>5分</w:t>
            </w:r>
            <w:r>
              <w:rPr>
                <w:rFonts w:hint="default" w:ascii="Arial" w:hAnsi="Arial" w:eastAsia="楷体_GB2312" w:cs="Arial"/>
                <w:sz w:val="24"/>
                <w:highlight w:val="none"/>
                <w:lang w:eastAsia="zh-CN"/>
              </w:rPr>
              <w:t>。</w:t>
            </w:r>
          </w:p>
          <w:p>
            <w:pPr>
              <w:numPr>
                <w:ilvl w:val="0"/>
                <w:numId w:val="0"/>
              </w:numPr>
              <w:jc w:val="left"/>
              <w:rPr>
                <w:rFonts w:hint="default" w:ascii="Arial" w:hAnsi="Arial" w:eastAsia="楷体_GB2312" w:cs="Arial"/>
                <w:sz w:val="24"/>
                <w:highlight w:val="none"/>
                <w:lang w:val="en-US" w:eastAsia="zh-CN" w:bidi="ar-SA"/>
              </w:rPr>
            </w:pPr>
            <w:r>
              <w:rPr>
                <w:rFonts w:hint="eastAsia" w:ascii="Arial" w:hAnsi="Arial" w:eastAsia="楷体_GB2312" w:cs="Arial"/>
                <w:sz w:val="24"/>
                <w:highlight w:val="none"/>
                <w:lang w:val="en-US" w:eastAsia="zh-CN"/>
              </w:rPr>
              <w:t>注：需提供清单中列出的业绩（至少包含合同签署页和合同首页），否则不予认定。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11" w:hRule="atLeast"/>
          <w:jc w:val="center"/>
        </w:trPr>
        <w:tc>
          <w:tcPr>
            <w:tcW w:w="1240" w:type="dxa"/>
            <w:vMerge w:val="continue"/>
            <w:tcBorders>
              <w:tl2br w:val="nil"/>
              <w:tr2bl w:val="nil"/>
            </w:tcBorders>
            <w:noWrap w:val="0"/>
            <w:vAlign w:val="center"/>
          </w:tcPr>
          <w:p>
            <w:pPr>
              <w:widowControl/>
              <w:jc w:val="center"/>
              <w:rPr>
                <w:rFonts w:hint="eastAsia" w:ascii="黑体" w:hAnsi="黑体" w:eastAsia="黑体" w:cs="黑体"/>
                <w:kern w:val="0"/>
                <w:sz w:val="24"/>
                <w:szCs w:val="20"/>
                <w:highlight w:val="none"/>
                <w:lang w:val="en-US" w:eastAsia="zh-Hans"/>
              </w:rPr>
            </w:pPr>
          </w:p>
        </w:tc>
        <w:tc>
          <w:tcPr>
            <w:tcW w:w="1484" w:type="dxa"/>
            <w:tcBorders>
              <w:tl2br w:val="nil"/>
              <w:tr2bl w:val="nil"/>
            </w:tcBorders>
            <w:noWrap w:val="0"/>
            <w:vAlign w:val="center"/>
          </w:tcPr>
          <w:p>
            <w:pPr>
              <w:widowControl/>
              <w:jc w:val="center"/>
              <w:rPr>
                <w:rFonts w:hint="eastAsia" w:ascii="黑体" w:hAnsi="黑体" w:eastAsia="黑体" w:cs="黑体"/>
                <w:kern w:val="0"/>
                <w:sz w:val="24"/>
                <w:szCs w:val="20"/>
                <w:highlight w:val="none"/>
                <w:lang w:val="en-US" w:eastAsia="zh-Hans" w:bidi="ar-SA"/>
              </w:rPr>
            </w:pPr>
            <w:r>
              <w:rPr>
                <w:rFonts w:hint="eastAsia" w:ascii="黑体" w:hAnsi="黑体" w:eastAsia="黑体" w:cs="黑体"/>
                <w:kern w:val="0"/>
                <w:sz w:val="24"/>
                <w:szCs w:val="20"/>
                <w:highlight w:val="none"/>
                <w:lang w:val="en-US" w:eastAsia="zh-Hans"/>
              </w:rPr>
              <w:t>咨询和培训</w:t>
            </w:r>
          </w:p>
        </w:tc>
        <w:tc>
          <w:tcPr>
            <w:tcW w:w="709" w:type="dxa"/>
            <w:tcBorders>
              <w:tl2br w:val="nil"/>
              <w:tr2bl w:val="nil"/>
            </w:tcBorders>
            <w:noWrap w:val="0"/>
            <w:vAlign w:val="center"/>
          </w:tcPr>
          <w:p>
            <w:pPr>
              <w:widowControl/>
              <w:jc w:val="center"/>
              <w:rPr>
                <w:rFonts w:hint="default" w:ascii="黑体" w:hAnsi="黑体" w:eastAsia="黑体" w:cs="黑体"/>
                <w:kern w:val="0"/>
                <w:sz w:val="24"/>
                <w:szCs w:val="20"/>
                <w:highlight w:val="none"/>
                <w:lang w:eastAsia="zh-CN" w:bidi="ar-SA"/>
              </w:rPr>
            </w:pPr>
            <w:r>
              <w:rPr>
                <w:rFonts w:hint="default" w:ascii="黑体" w:hAnsi="黑体" w:eastAsia="黑体" w:cs="黑体"/>
                <w:kern w:val="0"/>
                <w:sz w:val="24"/>
                <w:szCs w:val="20"/>
                <w:highlight w:val="none"/>
                <w:lang w:eastAsia="zh-CN"/>
              </w:rPr>
              <w:t>1</w:t>
            </w:r>
            <w:r>
              <w:rPr>
                <w:rFonts w:hint="eastAsia" w:ascii="黑体" w:hAnsi="黑体" w:eastAsia="黑体" w:cs="黑体"/>
                <w:kern w:val="0"/>
                <w:sz w:val="24"/>
                <w:szCs w:val="20"/>
                <w:highlight w:val="none"/>
                <w:lang w:val="en-US" w:eastAsia="zh-CN"/>
              </w:rPr>
              <w:t>4</w:t>
            </w:r>
          </w:p>
        </w:tc>
        <w:tc>
          <w:tcPr>
            <w:tcW w:w="6777" w:type="dxa"/>
            <w:tcBorders>
              <w:tl2br w:val="nil"/>
              <w:tr2bl w:val="nil"/>
            </w:tcBorders>
            <w:noWrap w:val="0"/>
            <w:vAlign w:val="center"/>
          </w:tcPr>
          <w:p>
            <w:pPr>
              <w:numPr>
                <w:ilvl w:val="0"/>
                <w:numId w:val="27"/>
              </w:numPr>
              <w:ind w:left="0" w:leftChars="0" w:firstLine="0" w:firstLineChars="0"/>
              <w:jc w:val="left"/>
              <w:rPr>
                <w:rFonts w:hint="eastAsia" w:ascii="Arial" w:hAnsi="Arial" w:eastAsia="楷体_GB2312" w:cs="Arial"/>
                <w:sz w:val="24"/>
                <w:highlight w:val="none"/>
                <w:lang w:val="en-US" w:eastAsia="zh-CN"/>
              </w:rPr>
            </w:pPr>
            <w:r>
              <w:rPr>
                <w:rFonts w:hint="eastAsia" w:ascii="Arial" w:hAnsi="Arial" w:eastAsia="楷体_GB2312" w:cs="Arial"/>
                <w:sz w:val="24"/>
                <w:highlight w:val="none"/>
                <w:lang w:val="en-US" w:eastAsia="zh-Hans"/>
              </w:rPr>
              <w:t>标准</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CN"/>
              </w:rPr>
              <w:t>体系文件和平台使用培训时间不少于</w:t>
            </w:r>
            <w:r>
              <w:rPr>
                <w:rFonts w:hint="default" w:ascii="Arial" w:hAnsi="Arial" w:eastAsia="楷体_GB2312" w:cs="Arial"/>
                <w:sz w:val="24"/>
                <w:highlight w:val="none"/>
                <w:lang w:eastAsia="zh-CN"/>
              </w:rPr>
              <w:t>50</w:t>
            </w:r>
            <w:r>
              <w:rPr>
                <w:rFonts w:hint="eastAsia" w:ascii="Arial" w:hAnsi="Arial" w:eastAsia="楷体_GB2312" w:cs="Arial"/>
                <w:sz w:val="24"/>
                <w:highlight w:val="none"/>
                <w:lang w:val="en-US" w:eastAsia="zh-CN"/>
              </w:rPr>
              <w:t>天的</w:t>
            </w:r>
            <w:r>
              <w:rPr>
                <w:rFonts w:hint="default" w:ascii="Arial" w:hAnsi="Arial" w:eastAsia="楷体_GB2312" w:cs="Arial"/>
                <w:sz w:val="24"/>
                <w:highlight w:val="none"/>
                <w:lang w:eastAsia="zh-CN"/>
              </w:rPr>
              <w:t>（</w:t>
            </w:r>
            <w:r>
              <w:rPr>
                <w:rFonts w:hint="eastAsia" w:ascii="Arial" w:hAnsi="Arial" w:eastAsia="楷体_GB2312" w:cs="Arial"/>
                <w:sz w:val="24"/>
                <w:highlight w:val="none"/>
                <w:lang w:val="en-US" w:eastAsia="zh-Hans"/>
              </w:rPr>
              <w:t>在实施方案或实施计划中</w:t>
            </w:r>
            <w:r>
              <w:rPr>
                <w:rFonts w:hint="eastAsia" w:ascii="Arial" w:hAnsi="Arial" w:eastAsia="楷体_GB2312" w:cs="Arial"/>
                <w:sz w:val="24"/>
                <w:highlight w:val="none"/>
                <w:lang w:val="en-US" w:eastAsia="zh-CN"/>
              </w:rPr>
              <w:t>体现</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Hans"/>
              </w:rPr>
              <w:t>或提供承诺函</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CN"/>
              </w:rPr>
              <w:t>，得4分</w:t>
            </w:r>
            <w:r>
              <w:rPr>
                <w:rFonts w:hint="default" w:ascii="Arial" w:hAnsi="Arial" w:eastAsia="楷体_GB2312" w:cs="Arial"/>
                <w:sz w:val="24"/>
                <w:highlight w:val="none"/>
                <w:lang w:val="en-US" w:eastAsia="zh-CN"/>
              </w:rPr>
              <w:t>。</w:t>
            </w:r>
          </w:p>
          <w:p>
            <w:pPr>
              <w:numPr>
                <w:ilvl w:val="0"/>
                <w:numId w:val="27"/>
              </w:numPr>
              <w:ind w:left="0" w:leftChars="0" w:firstLine="0" w:firstLineChars="0"/>
              <w:jc w:val="left"/>
              <w:rPr>
                <w:rFonts w:hint="eastAsia" w:ascii="Arial" w:hAnsi="Arial" w:eastAsia="楷体_GB2312" w:cs="Arial"/>
                <w:sz w:val="24"/>
                <w:highlight w:val="none"/>
                <w:lang w:val="en-US" w:eastAsia="zh-CN"/>
              </w:rPr>
            </w:pPr>
            <w:r>
              <w:rPr>
                <w:rFonts w:hint="eastAsia" w:ascii="Arial" w:hAnsi="Arial" w:eastAsia="楷体_GB2312" w:cs="Arial"/>
                <w:sz w:val="24"/>
                <w:highlight w:val="none"/>
                <w:lang w:val="en-US" w:eastAsia="zh-CN"/>
              </w:rPr>
              <w:t>试点项目运行</w:t>
            </w:r>
            <w:r>
              <w:rPr>
                <w:rFonts w:hint="eastAsia" w:ascii="Arial" w:hAnsi="Arial" w:eastAsia="楷体_GB2312" w:cs="Arial"/>
                <w:sz w:val="24"/>
                <w:highlight w:val="none"/>
                <w:lang w:val="en-US" w:eastAsia="zh-Hans"/>
              </w:rPr>
              <w:t>期间</w:t>
            </w:r>
            <w:r>
              <w:rPr>
                <w:rFonts w:hint="eastAsia" w:ascii="Arial" w:hAnsi="Arial" w:eastAsia="楷体_GB2312" w:cs="Arial"/>
                <w:sz w:val="24"/>
                <w:highlight w:val="none"/>
                <w:lang w:val="en-US" w:eastAsia="zh-CN"/>
              </w:rPr>
              <w:t>现场指导和检查</w:t>
            </w:r>
            <w:r>
              <w:rPr>
                <w:rFonts w:hint="eastAsia" w:ascii="Arial" w:hAnsi="Arial" w:eastAsia="楷体_GB2312" w:cs="Arial"/>
                <w:sz w:val="24"/>
                <w:highlight w:val="none"/>
                <w:lang w:val="en-US" w:eastAsia="zh-Hans"/>
              </w:rPr>
              <w:t>时间</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Hans"/>
              </w:rPr>
              <w:t>含内审</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Hans"/>
              </w:rPr>
              <w:t>外审现场指导时间</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CN"/>
              </w:rPr>
              <w:t>不少于</w:t>
            </w:r>
            <w:r>
              <w:rPr>
                <w:rFonts w:hint="default" w:ascii="Arial" w:hAnsi="Arial" w:eastAsia="楷体_GB2312" w:cs="Arial"/>
                <w:sz w:val="24"/>
                <w:highlight w:val="none"/>
                <w:lang w:eastAsia="zh-CN"/>
              </w:rPr>
              <w:t>45</w:t>
            </w:r>
            <w:r>
              <w:rPr>
                <w:rFonts w:hint="eastAsia" w:ascii="Arial" w:hAnsi="Arial" w:eastAsia="楷体_GB2312" w:cs="Arial"/>
                <w:sz w:val="24"/>
                <w:highlight w:val="none"/>
                <w:lang w:val="en-US" w:eastAsia="zh-CN"/>
              </w:rPr>
              <w:t>天的</w:t>
            </w:r>
            <w:r>
              <w:rPr>
                <w:rFonts w:hint="default" w:ascii="Arial" w:hAnsi="Arial" w:eastAsia="楷体_GB2312" w:cs="Arial"/>
                <w:sz w:val="24"/>
                <w:highlight w:val="none"/>
                <w:lang w:eastAsia="zh-CN"/>
              </w:rPr>
              <w:t>（</w:t>
            </w:r>
            <w:r>
              <w:rPr>
                <w:rFonts w:hint="eastAsia" w:ascii="Arial" w:hAnsi="Arial" w:eastAsia="楷体_GB2312" w:cs="Arial"/>
                <w:sz w:val="24"/>
                <w:highlight w:val="none"/>
                <w:lang w:val="en-US" w:eastAsia="zh-Hans"/>
              </w:rPr>
              <w:t>在实施方案或实施计划中</w:t>
            </w:r>
            <w:r>
              <w:rPr>
                <w:rFonts w:hint="eastAsia" w:ascii="Arial" w:hAnsi="Arial" w:eastAsia="楷体_GB2312" w:cs="Arial"/>
                <w:sz w:val="24"/>
                <w:highlight w:val="none"/>
                <w:lang w:val="en-US" w:eastAsia="zh-CN"/>
              </w:rPr>
              <w:t>体现</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Hans"/>
              </w:rPr>
              <w:t>或提供承诺函</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CN"/>
              </w:rPr>
              <w:t>，得5分。</w:t>
            </w:r>
          </w:p>
          <w:p>
            <w:pPr>
              <w:numPr>
                <w:ilvl w:val="0"/>
                <w:numId w:val="27"/>
              </w:numPr>
              <w:ind w:left="0" w:leftChars="0" w:firstLine="0" w:firstLineChars="0"/>
              <w:jc w:val="left"/>
              <w:rPr>
                <w:rFonts w:hint="eastAsia" w:ascii="Arial" w:hAnsi="Arial" w:eastAsia="楷体_GB2312" w:cs="Arial"/>
                <w:sz w:val="24"/>
                <w:highlight w:val="none"/>
                <w:lang w:val="en-US" w:eastAsia="zh-Hans" w:bidi="ar-SA"/>
              </w:rPr>
            </w:pPr>
            <w:r>
              <w:rPr>
                <w:rFonts w:hint="eastAsia" w:ascii="Arial" w:hAnsi="Arial" w:eastAsia="楷体_GB2312" w:cs="Arial"/>
                <w:sz w:val="24"/>
                <w:highlight w:val="none"/>
                <w:lang w:val="en-US" w:eastAsia="zh-CN"/>
              </w:rPr>
              <w:t>能够</w:t>
            </w:r>
            <w:r>
              <w:rPr>
                <w:rFonts w:hint="eastAsia" w:ascii="Arial" w:hAnsi="Arial" w:eastAsia="楷体_GB2312" w:cs="Arial"/>
                <w:sz w:val="24"/>
                <w:highlight w:val="none"/>
                <w:lang w:val="en-US" w:eastAsia="zh-Hans"/>
              </w:rPr>
              <w:t>协助</w:t>
            </w:r>
            <w:r>
              <w:rPr>
                <w:rFonts w:hint="eastAsia" w:ascii="Arial" w:hAnsi="Arial" w:eastAsia="楷体_GB2312" w:cs="Arial"/>
                <w:sz w:val="24"/>
                <w:highlight w:val="none"/>
                <w:lang w:val="en-US" w:eastAsia="zh-CN"/>
              </w:rPr>
              <w:t>采购人</w:t>
            </w:r>
            <w:r>
              <w:rPr>
                <w:rFonts w:hint="eastAsia" w:ascii="Arial" w:hAnsi="Arial" w:eastAsia="楷体_GB2312" w:cs="Arial"/>
                <w:sz w:val="24"/>
                <w:highlight w:val="none"/>
                <w:lang w:val="en-US" w:eastAsia="zh-Hans"/>
              </w:rPr>
              <w:t>提出各级各类人员上岗要求</w:t>
            </w:r>
            <w:r>
              <w:rPr>
                <w:rFonts w:hint="eastAsia" w:ascii="Arial" w:hAnsi="Arial" w:eastAsia="楷体_GB2312" w:cs="Arial"/>
                <w:sz w:val="24"/>
                <w:highlight w:val="none"/>
                <w:lang w:val="en-US" w:eastAsia="zh-CN"/>
              </w:rPr>
              <w:t>（制度）</w:t>
            </w:r>
            <w:r>
              <w:rPr>
                <w:rFonts w:hint="default" w:ascii="Arial" w:hAnsi="Arial" w:eastAsia="楷体_GB2312" w:cs="Arial"/>
                <w:sz w:val="24"/>
                <w:highlight w:val="none"/>
                <w:lang w:val="en-US" w:eastAsia="zh-Hans"/>
              </w:rPr>
              <w:t>，</w:t>
            </w:r>
            <w:r>
              <w:rPr>
                <w:rFonts w:hint="eastAsia" w:ascii="Arial" w:hAnsi="Arial" w:eastAsia="楷体_GB2312" w:cs="Arial"/>
                <w:sz w:val="24"/>
                <w:highlight w:val="none"/>
                <w:lang w:val="en-US" w:eastAsia="zh-Hans"/>
              </w:rPr>
              <w:t>并制定培训考核方案和知识</w:t>
            </w:r>
            <w:r>
              <w:rPr>
                <w:rFonts w:hint="eastAsia" w:ascii="Arial" w:hAnsi="Arial" w:eastAsia="楷体_GB2312" w:cs="Arial"/>
                <w:sz w:val="24"/>
                <w:highlight w:val="none"/>
                <w:lang w:val="en-US" w:eastAsia="zh-CN"/>
              </w:rPr>
              <w:t>题库的</w:t>
            </w:r>
            <w:r>
              <w:rPr>
                <w:rFonts w:hint="default" w:ascii="Arial" w:hAnsi="Arial" w:eastAsia="楷体_GB2312" w:cs="Arial"/>
                <w:sz w:val="24"/>
                <w:highlight w:val="none"/>
                <w:lang w:eastAsia="zh-CN"/>
              </w:rPr>
              <w:t>（</w:t>
            </w:r>
            <w:r>
              <w:rPr>
                <w:rFonts w:hint="eastAsia" w:ascii="Arial" w:hAnsi="Arial" w:eastAsia="楷体_GB2312" w:cs="Arial"/>
                <w:sz w:val="24"/>
                <w:highlight w:val="none"/>
                <w:lang w:val="en-US" w:eastAsia="zh-Hans"/>
              </w:rPr>
              <w:t>在实施方案或实施计划中</w:t>
            </w:r>
            <w:r>
              <w:rPr>
                <w:rFonts w:hint="eastAsia" w:ascii="Arial" w:hAnsi="Arial" w:eastAsia="楷体_GB2312" w:cs="Arial"/>
                <w:sz w:val="24"/>
                <w:highlight w:val="none"/>
                <w:lang w:val="en-US" w:eastAsia="zh-CN"/>
              </w:rPr>
              <w:t>体</w:t>
            </w:r>
            <w:r>
              <w:rPr>
                <w:rFonts w:hint="eastAsia" w:ascii="Arial" w:hAnsi="Arial" w:eastAsia="楷体_GB2312" w:cs="Arial"/>
                <w:sz w:val="24"/>
                <w:highlight w:val="none"/>
                <w:lang w:val="en-US" w:eastAsia="zh-Hans"/>
              </w:rPr>
              <w:t>现</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Hans"/>
              </w:rPr>
              <w:t>或提供承诺函</w:t>
            </w:r>
            <w:r>
              <w:rPr>
                <w:rFonts w:hint="default" w:ascii="Arial" w:hAnsi="Arial" w:eastAsia="楷体_GB2312" w:cs="Arial"/>
                <w:sz w:val="24"/>
                <w:highlight w:val="none"/>
                <w:lang w:eastAsia="zh-Hans"/>
              </w:rPr>
              <w:t>）</w:t>
            </w:r>
            <w:r>
              <w:rPr>
                <w:rFonts w:hint="default" w:ascii="Arial" w:hAnsi="Arial" w:eastAsia="楷体_GB2312" w:cs="Arial"/>
                <w:sz w:val="24"/>
                <w:highlight w:val="none"/>
                <w:lang w:val="en-US" w:eastAsia="zh-CN"/>
              </w:rPr>
              <w:t>，</w:t>
            </w:r>
            <w:r>
              <w:rPr>
                <w:rFonts w:hint="eastAsia" w:ascii="Arial" w:hAnsi="Arial" w:eastAsia="楷体_GB2312" w:cs="Arial"/>
                <w:sz w:val="24"/>
                <w:highlight w:val="none"/>
                <w:lang w:val="en-US" w:eastAsia="zh-CN"/>
              </w:rPr>
              <w:t>得5分。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156" w:hRule="atLeast"/>
          <w:jc w:val="center"/>
        </w:trPr>
        <w:tc>
          <w:tcPr>
            <w:tcW w:w="1240" w:type="dxa"/>
            <w:vMerge w:val="continue"/>
            <w:tcBorders>
              <w:tl2br w:val="nil"/>
              <w:tr2bl w:val="nil"/>
            </w:tcBorders>
            <w:noWrap w:val="0"/>
            <w:vAlign w:val="center"/>
          </w:tcPr>
          <w:p>
            <w:pPr>
              <w:widowControl/>
              <w:jc w:val="center"/>
              <w:rPr>
                <w:rFonts w:hint="eastAsia" w:ascii="黑体" w:hAnsi="黑体" w:eastAsia="黑体" w:cs="黑体"/>
                <w:kern w:val="0"/>
                <w:sz w:val="24"/>
                <w:szCs w:val="20"/>
                <w:highlight w:val="none"/>
              </w:rPr>
            </w:pPr>
          </w:p>
        </w:tc>
        <w:tc>
          <w:tcPr>
            <w:tcW w:w="1484" w:type="dxa"/>
            <w:tcBorders>
              <w:tl2br w:val="nil"/>
              <w:tr2bl w:val="nil"/>
            </w:tcBorders>
            <w:noWrap w:val="0"/>
            <w:vAlign w:val="center"/>
          </w:tcPr>
          <w:p>
            <w:pPr>
              <w:widowControl/>
              <w:jc w:val="center"/>
              <w:rPr>
                <w:rFonts w:hint="eastAsia" w:ascii="黑体" w:hAnsi="黑体" w:eastAsia="黑体" w:cs="黑体"/>
                <w:kern w:val="0"/>
                <w:sz w:val="24"/>
                <w:szCs w:val="20"/>
                <w:highlight w:val="none"/>
                <w:lang w:val="en-US" w:eastAsia="zh-Hans"/>
              </w:rPr>
            </w:pPr>
            <w:r>
              <w:rPr>
                <w:rFonts w:hint="eastAsia" w:ascii="黑体" w:hAnsi="黑体" w:eastAsia="黑体" w:cs="黑体"/>
                <w:kern w:val="0"/>
                <w:sz w:val="24"/>
                <w:szCs w:val="20"/>
                <w:highlight w:val="none"/>
                <w:lang w:val="en-US" w:eastAsia="zh-Hans"/>
              </w:rPr>
              <w:t>平台技术要求</w:t>
            </w:r>
          </w:p>
        </w:tc>
        <w:tc>
          <w:tcPr>
            <w:tcW w:w="709" w:type="dxa"/>
            <w:tcBorders>
              <w:tl2br w:val="nil"/>
              <w:tr2bl w:val="nil"/>
            </w:tcBorders>
            <w:noWrap w:val="0"/>
            <w:vAlign w:val="center"/>
          </w:tcPr>
          <w:p>
            <w:pPr>
              <w:widowControl/>
              <w:jc w:val="center"/>
              <w:rPr>
                <w:rFonts w:hint="default" w:ascii="黑体" w:hAnsi="黑体" w:eastAsia="黑体" w:cs="黑体"/>
                <w:kern w:val="0"/>
                <w:sz w:val="24"/>
                <w:szCs w:val="20"/>
                <w:highlight w:val="none"/>
                <w:lang w:eastAsia="zh-CN"/>
              </w:rPr>
            </w:pPr>
            <w:r>
              <w:rPr>
                <w:rFonts w:hint="default" w:ascii="黑体" w:hAnsi="黑体" w:eastAsia="黑体" w:cs="黑体"/>
                <w:kern w:val="0"/>
                <w:sz w:val="24"/>
                <w:szCs w:val="20"/>
                <w:highlight w:val="none"/>
                <w:lang w:eastAsia="zh-CN"/>
              </w:rPr>
              <w:t>2</w:t>
            </w:r>
            <w:r>
              <w:rPr>
                <w:rFonts w:hint="eastAsia" w:ascii="黑体" w:hAnsi="黑体" w:eastAsia="黑体" w:cs="黑体"/>
                <w:kern w:val="0"/>
                <w:sz w:val="24"/>
                <w:szCs w:val="20"/>
                <w:highlight w:val="none"/>
                <w:lang w:val="en-US" w:eastAsia="zh-CN"/>
              </w:rPr>
              <w:t>5</w:t>
            </w:r>
          </w:p>
        </w:tc>
        <w:tc>
          <w:tcPr>
            <w:tcW w:w="6777" w:type="dxa"/>
            <w:tcBorders>
              <w:tl2br w:val="nil"/>
              <w:tr2bl w:val="nil"/>
            </w:tcBorders>
            <w:noWrap w:val="0"/>
            <w:vAlign w:val="center"/>
          </w:tcPr>
          <w:p>
            <w:pPr>
              <w:numPr>
                <w:ilvl w:val="0"/>
                <w:numId w:val="28"/>
              </w:numPr>
              <w:ind w:left="0" w:leftChars="0" w:firstLine="0" w:firstLineChars="0"/>
              <w:jc w:val="left"/>
              <w:rPr>
                <w:rFonts w:hint="eastAsia" w:ascii="Arial" w:hAnsi="Arial" w:eastAsia="楷体_GB2312" w:cs="Arial"/>
                <w:sz w:val="24"/>
                <w:highlight w:val="none"/>
                <w:lang w:val="en-US" w:eastAsia="zh-Hans"/>
              </w:rPr>
            </w:pPr>
            <w:r>
              <w:rPr>
                <w:rFonts w:hint="eastAsia" w:ascii="Arial" w:hAnsi="Arial" w:eastAsia="楷体_GB2312" w:cs="Arial"/>
                <w:sz w:val="24"/>
                <w:highlight w:val="none"/>
                <w:lang w:val="en-US" w:eastAsia="zh-Hans"/>
              </w:rPr>
              <w:t>具备项目离线数据导入导出功能，满足外场或非密网等离线工作场景需求的</w:t>
            </w:r>
            <w:r>
              <w:rPr>
                <w:rFonts w:hint="eastAsia" w:ascii="Arial" w:hAnsi="Arial" w:eastAsia="楷体_GB2312" w:cs="Arial"/>
                <w:sz w:val="24"/>
                <w:highlight w:val="none"/>
                <w:lang w:eastAsia="zh-Hans"/>
              </w:rPr>
              <w:t>，</w:t>
            </w:r>
            <w:r>
              <w:rPr>
                <w:rFonts w:hint="eastAsia" w:ascii="Arial" w:hAnsi="Arial" w:eastAsia="楷体_GB2312" w:cs="Arial"/>
                <w:sz w:val="24"/>
                <w:highlight w:val="none"/>
                <w:lang w:val="en-US" w:eastAsia="zh-Hans"/>
              </w:rPr>
              <w:t>得</w:t>
            </w:r>
            <w:r>
              <w:rPr>
                <w:rFonts w:hint="eastAsia" w:ascii="Arial" w:hAnsi="Arial" w:eastAsia="楷体_GB2312" w:cs="Arial"/>
                <w:sz w:val="24"/>
                <w:highlight w:val="none"/>
                <w:lang w:val="en-US" w:eastAsia="zh-CN"/>
              </w:rPr>
              <w:t>5</w:t>
            </w:r>
            <w:r>
              <w:rPr>
                <w:rFonts w:hint="eastAsia" w:ascii="Arial" w:hAnsi="Arial" w:eastAsia="楷体_GB2312" w:cs="Arial"/>
                <w:sz w:val="24"/>
                <w:highlight w:val="none"/>
                <w:lang w:val="en-US" w:eastAsia="zh-Hans"/>
              </w:rPr>
              <w:t>分</w:t>
            </w:r>
            <w:r>
              <w:rPr>
                <w:rFonts w:hint="eastAsia" w:ascii="Arial" w:hAnsi="Arial" w:eastAsia="楷体_GB2312" w:cs="Arial"/>
                <w:sz w:val="24"/>
                <w:highlight w:val="none"/>
                <w:lang w:val="en-GB" w:eastAsia="zh-Hans"/>
              </w:rPr>
              <w:t>。</w:t>
            </w:r>
          </w:p>
          <w:p>
            <w:pPr>
              <w:numPr>
                <w:ilvl w:val="0"/>
                <w:numId w:val="28"/>
              </w:numPr>
              <w:ind w:left="0" w:leftChars="0" w:firstLine="0" w:firstLineChars="0"/>
              <w:jc w:val="left"/>
              <w:rPr>
                <w:rFonts w:hint="eastAsia" w:ascii="Arial" w:hAnsi="Arial" w:eastAsia="楷体_GB2312" w:cs="Arial"/>
                <w:sz w:val="24"/>
                <w:highlight w:val="none"/>
                <w:lang w:val="en-US" w:eastAsia="zh-Hans"/>
              </w:rPr>
            </w:pPr>
            <w:r>
              <w:rPr>
                <w:rFonts w:hint="eastAsia" w:ascii="Arial" w:hAnsi="Arial" w:eastAsia="楷体_GB2312" w:cs="Arial"/>
                <w:sz w:val="24"/>
                <w:highlight w:val="none"/>
                <w:lang w:val="en-US" w:eastAsia="zh-CN"/>
              </w:rPr>
              <w:t>能够一键式生成</w:t>
            </w:r>
            <w:r>
              <w:rPr>
                <w:rFonts w:hint="eastAsia" w:ascii="Arial" w:hAnsi="Arial" w:eastAsia="楷体_GB2312" w:cs="Arial"/>
                <w:sz w:val="24"/>
                <w:highlight w:val="none"/>
                <w:lang w:val="en-US" w:eastAsia="zh-Hans"/>
              </w:rPr>
              <w:t>评价</w:t>
            </w:r>
            <w:r>
              <w:rPr>
                <w:rFonts w:hint="eastAsia" w:ascii="Arial" w:hAnsi="Arial" w:eastAsia="楷体_GB2312" w:cs="Arial"/>
                <w:sz w:val="24"/>
                <w:highlight w:val="none"/>
                <w:lang w:val="en-US" w:eastAsia="zh-CN"/>
              </w:rPr>
              <w:t>证据，并以评价员视图“实践域-目标-实践-证据”呈现证据，减轻举证工作量</w:t>
            </w:r>
            <w:r>
              <w:rPr>
                <w:rFonts w:hint="eastAsia" w:ascii="Arial" w:hAnsi="Arial" w:eastAsia="楷体_GB2312" w:cs="Arial"/>
                <w:sz w:val="24"/>
                <w:highlight w:val="none"/>
                <w:lang w:val="en-US" w:eastAsia="zh-Hans"/>
              </w:rPr>
              <w:t>的</w:t>
            </w:r>
            <w:r>
              <w:rPr>
                <w:rFonts w:hint="eastAsia" w:ascii="Arial" w:hAnsi="Arial" w:eastAsia="楷体_GB2312" w:cs="Arial"/>
                <w:sz w:val="24"/>
                <w:highlight w:val="none"/>
                <w:lang w:eastAsia="zh-Hans"/>
              </w:rPr>
              <w:t>，</w:t>
            </w:r>
            <w:r>
              <w:rPr>
                <w:rFonts w:hint="eastAsia" w:ascii="Arial" w:hAnsi="Arial" w:eastAsia="楷体_GB2312" w:cs="Arial"/>
                <w:sz w:val="24"/>
                <w:highlight w:val="none"/>
                <w:lang w:val="en-US" w:eastAsia="zh-Hans"/>
              </w:rPr>
              <w:t>得</w:t>
            </w:r>
            <w:r>
              <w:rPr>
                <w:rFonts w:hint="eastAsia" w:ascii="Arial" w:hAnsi="Arial" w:eastAsia="楷体_GB2312" w:cs="Arial"/>
                <w:sz w:val="24"/>
                <w:highlight w:val="none"/>
                <w:lang w:val="en-US" w:eastAsia="zh-CN"/>
              </w:rPr>
              <w:t>5</w:t>
            </w:r>
            <w:r>
              <w:rPr>
                <w:rFonts w:hint="eastAsia" w:ascii="Arial" w:hAnsi="Arial" w:eastAsia="楷体_GB2312" w:cs="Arial"/>
                <w:sz w:val="24"/>
                <w:highlight w:val="none"/>
                <w:lang w:val="en-US" w:eastAsia="zh-Hans"/>
              </w:rPr>
              <w:t>分</w:t>
            </w:r>
            <w:r>
              <w:rPr>
                <w:rFonts w:hint="eastAsia" w:ascii="Arial" w:hAnsi="Arial" w:eastAsia="楷体_GB2312" w:cs="Arial"/>
                <w:sz w:val="24"/>
                <w:highlight w:val="none"/>
                <w:lang w:eastAsia="zh-Hans"/>
              </w:rPr>
              <w:t>。</w:t>
            </w:r>
          </w:p>
          <w:p>
            <w:pPr>
              <w:numPr>
                <w:ilvl w:val="0"/>
                <w:numId w:val="28"/>
              </w:numPr>
              <w:ind w:left="0" w:leftChars="0" w:firstLine="0" w:firstLineChars="0"/>
              <w:jc w:val="left"/>
              <w:rPr>
                <w:rFonts w:hint="eastAsia" w:ascii="Arial" w:hAnsi="Arial" w:eastAsia="楷体_GB2312" w:cs="Arial"/>
                <w:sz w:val="24"/>
                <w:highlight w:val="none"/>
                <w:lang w:val="en-US" w:eastAsia="zh-Hans"/>
              </w:rPr>
            </w:pPr>
            <w:r>
              <w:rPr>
                <w:rFonts w:hint="eastAsia" w:ascii="Arial" w:hAnsi="Arial" w:eastAsia="楷体_GB2312" w:cs="Arial"/>
                <w:sz w:val="24"/>
                <w:highlight w:val="none"/>
                <w:lang w:val="en-US" w:eastAsia="zh-CN"/>
              </w:rPr>
              <w:t>可快速引用平台中数据，在线编辑</w:t>
            </w:r>
            <w:r>
              <w:rPr>
                <w:rFonts w:hint="eastAsia" w:ascii="Arial" w:hAnsi="Arial" w:eastAsia="楷体_GB2312" w:cs="Arial"/>
                <w:sz w:val="24"/>
                <w:highlight w:val="none"/>
                <w:lang w:val="en-US" w:eastAsia="zh-Hans"/>
              </w:rPr>
              <w:t>文档</w:t>
            </w:r>
            <w:r>
              <w:rPr>
                <w:rFonts w:hint="eastAsia" w:ascii="Arial" w:hAnsi="Arial" w:eastAsia="楷体_GB2312" w:cs="Arial"/>
                <w:sz w:val="24"/>
                <w:highlight w:val="none"/>
                <w:lang w:eastAsia="zh-Hans"/>
              </w:rPr>
              <w:t>（</w:t>
            </w:r>
            <w:r>
              <w:rPr>
                <w:rFonts w:hint="eastAsia" w:ascii="Arial" w:hAnsi="Arial" w:eastAsia="楷体_GB2312" w:cs="Arial"/>
                <w:sz w:val="24"/>
                <w:highlight w:val="none"/>
                <w:lang w:val="en-US" w:eastAsia="zh-Hans"/>
              </w:rPr>
              <w:t>包含但不限于</w:t>
            </w:r>
            <w:r>
              <w:rPr>
                <w:rFonts w:hint="eastAsia" w:ascii="Arial" w:hAnsi="Arial" w:eastAsia="楷体_GB2312" w:cs="Arial"/>
                <w:sz w:val="24"/>
                <w:highlight w:val="none"/>
                <w:lang w:val="en-US" w:eastAsia="zh-CN"/>
              </w:rPr>
              <w:t>软件开发计划、配置管理计划、质量保证计划</w:t>
            </w:r>
            <w:r>
              <w:rPr>
                <w:rFonts w:hint="eastAsia" w:ascii="Arial" w:hAnsi="Arial" w:eastAsia="楷体_GB2312" w:cs="Arial"/>
                <w:sz w:val="24"/>
                <w:highlight w:val="none"/>
                <w:lang w:val="en-US" w:eastAsia="zh-Hans"/>
              </w:rPr>
              <w:t>）</w:t>
            </w:r>
            <w:r>
              <w:rPr>
                <w:rFonts w:hint="eastAsia" w:ascii="Arial" w:hAnsi="Arial" w:eastAsia="楷体_GB2312" w:cs="Arial"/>
                <w:sz w:val="24"/>
                <w:highlight w:val="none"/>
                <w:lang w:val="en-US" w:eastAsia="zh-CN"/>
              </w:rPr>
              <w:t>，</w:t>
            </w:r>
            <w:r>
              <w:rPr>
                <w:rFonts w:hint="eastAsia" w:ascii="Arial" w:hAnsi="Arial" w:eastAsia="楷体_GB2312" w:cs="Arial"/>
                <w:sz w:val="24"/>
                <w:highlight w:val="none"/>
                <w:lang w:val="en-US" w:eastAsia="zh-Hans"/>
              </w:rPr>
              <w:t>满足</w:t>
            </w:r>
            <w:r>
              <w:rPr>
                <w:rFonts w:hint="eastAsia" w:ascii="Arial" w:hAnsi="Arial" w:eastAsia="楷体_GB2312" w:cs="Arial"/>
                <w:sz w:val="24"/>
                <w:highlight w:val="none"/>
                <w:lang w:val="en-US" w:eastAsia="zh-CN"/>
              </w:rPr>
              <w:t>GJB 438C</w:t>
            </w:r>
            <w:r>
              <w:rPr>
                <w:rFonts w:hint="eastAsia" w:ascii="Arial" w:hAnsi="Arial" w:eastAsia="楷体_GB2312" w:cs="Arial"/>
                <w:sz w:val="24"/>
                <w:highlight w:val="none"/>
                <w:lang w:val="en-US" w:eastAsia="zh-Hans"/>
              </w:rPr>
              <w:t>要求的，得</w:t>
            </w:r>
            <w:r>
              <w:rPr>
                <w:rFonts w:hint="eastAsia" w:ascii="Arial" w:hAnsi="Arial" w:eastAsia="楷体_GB2312" w:cs="Arial"/>
                <w:sz w:val="24"/>
                <w:highlight w:val="none"/>
                <w:lang w:val="en-US" w:eastAsia="zh-CN"/>
              </w:rPr>
              <w:t>5</w:t>
            </w:r>
            <w:r>
              <w:rPr>
                <w:rFonts w:hint="eastAsia" w:ascii="Arial" w:hAnsi="Arial" w:eastAsia="楷体_GB2312" w:cs="Arial"/>
                <w:sz w:val="24"/>
                <w:highlight w:val="none"/>
                <w:lang w:val="en-US" w:eastAsia="zh-Hans"/>
              </w:rPr>
              <w:t>分。</w:t>
            </w:r>
          </w:p>
          <w:p>
            <w:pPr>
              <w:numPr>
                <w:ilvl w:val="0"/>
                <w:numId w:val="28"/>
              </w:numPr>
              <w:ind w:left="0" w:leftChars="0" w:firstLine="0" w:firstLineChars="0"/>
              <w:jc w:val="left"/>
              <w:rPr>
                <w:rFonts w:hint="eastAsia"/>
                <w:highlight w:val="none"/>
                <w:lang w:val="en-US" w:eastAsia="zh-Hans"/>
              </w:rPr>
            </w:pPr>
            <w:r>
              <w:rPr>
                <w:rFonts w:hint="eastAsia" w:ascii="Arial" w:hAnsi="Arial" w:eastAsia="楷体_GB2312" w:cs="Arial"/>
                <w:sz w:val="24"/>
                <w:highlight w:val="none"/>
                <w:lang w:val="en-US" w:eastAsia="zh-Hans"/>
              </w:rPr>
              <w:t>能够自动统计组织资产复用情况的，得</w:t>
            </w:r>
            <w:r>
              <w:rPr>
                <w:rFonts w:hint="eastAsia" w:ascii="Arial" w:hAnsi="Arial" w:eastAsia="楷体_GB2312" w:cs="Arial"/>
                <w:sz w:val="24"/>
                <w:highlight w:val="none"/>
                <w:lang w:val="en-US" w:eastAsia="zh-CN"/>
              </w:rPr>
              <w:t>5</w:t>
            </w:r>
            <w:r>
              <w:rPr>
                <w:rFonts w:hint="eastAsia" w:ascii="Arial" w:hAnsi="Arial" w:eastAsia="楷体_GB2312" w:cs="Arial"/>
                <w:sz w:val="24"/>
                <w:highlight w:val="none"/>
                <w:lang w:val="en-US" w:eastAsia="zh-Hans"/>
              </w:rPr>
              <w:t>分。</w:t>
            </w:r>
          </w:p>
          <w:p>
            <w:pPr>
              <w:numPr>
                <w:ilvl w:val="0"/>
                <w:numId w:val="0"/>
              </w:numPr>
              <w:ind w:leftChars="0"/>
              <w:jc w:val="left"/>
              <w:rPr>
                <w:rFonts w:hint="eastAsia" w:ascii="Arial" w:hAnsi="Arial" w:eastAsia="楷体_GB2312" w:cs="Arial"/>
                <w:sz w:val="24"/>
                <w:highlight w:val="none"/>
                <w:lang w:val="en-US" w:eastAsia="zh-CN"/>
              </w:rPr>
            </w:pPr>
            <w:r>
              <w:rPr>
                <w:rFonts w:hint="eastAsia" w:ascii="Arial" w:hAnsi="Arial" w:eastAsia="楷体_GB2312" w:cs="Arial"/>
                <w:sz w:val="24"/>
                <w:highlight w:val="none"/>
                <w:lang w:val="en-US" w:eastAsia="zh-CN"/>
              </w:rPr>
              <w:t>注：以上要求需给出页面截图证明，否则不予认定。</w:t>
            </w:r>
          </w:p>
          <w:p>
            <w:pPr>
              <w:numPr>
                <w:ilvl w:val="0"/>
                <w:numId w:val="28"/>
              </w:numPr>
              <w:ind w:left="0" w:leftChars="0" w:firstLine="0" w:firstLineChars="0"/>
              <w:jc w:val="left"/>
              <w:rPr>
                <w:rFonts w:hint="eastAsia"/>
                <w:highlight w:val="none"/>
                <w:lang w:val="en-US" w:eastAsia="zh-Hans"/>
              </w:rPr>
            </w:pPr>
            <w:r>
              <w:rPr>
                <w:rFonts w:hint="eastAsia" w:ascii="Arial" w:hAnsi="Arial" w:eastAsia="楷体_GB2312" w:cs="Arial"/>
                <w:sz w:val="24"/>
                <w:highlight w:val="none"/>
                <w:lang w:val="en-US" w:eastAsia="zh-CN"/>
              </w:rPr>
              <w:t>平台应具备资产库管理功能，可对组织资产进行分类管理（包含但不限于体系标准库、生存周期模型库、过程检查单库、风险/机遇库、工作环境库、资料库），并具备增、删、改、查功能。满足本条得5分，否则不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85" w:hRule="atLeast"/>
          <w:jc w:val="center"/>
        </w:trPr>
        <w:tc>
          <w:tcPr>
            <w:tcW w:w="1240" w:type="dxa"/>
            <w:vMerge w:val="continue"/>
            <w:tcBorders>
              <w:tl2br w:val="nil"/>
              <w:tr2bl w:val="nil"/>
            </w:tcBorders>
            <w:noWrap w:val="0"/>
            <w:vAlign w:val="center"/>
          </w:tcPr>
          <w:p>
            <w:pPr>
              <w:pStyle w:val="4"/>
              <w:rPr>
                <w:rFonts w:hint="eastAsia"/>
                <w:highlight w:val="none"/>
              </w:rPr>
            </w:pPr>
          </w:p>
        </w:tc>
        <w:tc>
          <w:tcPr>
            <w:tcW w:w="1484" w:type="dxa"/>
            <w:tcBorders>
              <w:tl2br w:val="nil"/>
              <w:tr2bl w:val="nil"/>
            </w:tcBorders>
            <w:noWrap w:val="0"/>
            <w:vAlign w:val="center"/>
          </w:tcPr>
          <w:p>
            <w:pPr>
              <w:widowControl/>
              <w:jc w:val="center"/>
              <w:rPr>
                <w:rFonts w:hint="eastAsia" w:ascii="黑体" w:hAnsi="黑体" w:eastAsia="黑体" w:cs="黑体"/>
                <w:kern w:val="0"/>
                <w:sz w:val="24"/>
                <w:szCs w:val="20"/>
                <w:highlight w:val="none"/>
                <w:lang w:val="en-US" w:eastAsia="zh-Hans"/>
              </w:rPr>
            </w:pPr>
            <w:r>
              <w:rPr>
                <w:rFonts w:hint="eastAsia" w:ascii="黑体" w:hAnsi="黑体" w:eastAsia="黑体" w:cs="黑体"/>
                <w:kern w:val="0"/>
                <w:sz w:val="24"/>
                <w:szCs w:val="20"/>
                <w:highlight w:val="none"/>
                <w:lang w:val="en-US" w:eastAsia="zh-Hans"/>
              </w:rPr>
              <w:t>与专业工具接口的可行性设计方案</w:t>
            </w:r>
          </w:p>
        </w:tc>
        <w:tc>
          <w:tcPr>
            <w:tcW w:w="709" w:type="dxa"/>
            <w:tcBorders>
              <w:tl2br w:val="nil"/>
              <w:tr2bl w:val="nil"/>
            </w:tcBorders>
            <w:noWrap w:val="0"/>
            <w:vAlign w:val="center"/>
          </w:tcPr>
          <w:p>
            <w:pPr>
              <w:widowControl/>
              <w:jc w:val="center"/>
              <w:rPr>
                <w:rFonts w:hint="default" w:ascii="黑体" w:hAnsi="黑体" w:eastAsia="黑体" w:cs="黑体"/>
                <w:kern w:val="0"/>
                <w:sz w:val="24"/>
                <w:szCs w:val="20"/>
                <w:highlight w:val="none"/>
                <w:lang w:eastAsia="zh-CN"/>
              </w:rPr>
            </w:pPr>
            <w:r>
              <w:rPr>
                <w:rFonts w:hint="eastAsia" w:ascii="黑体" w:hAnsi="黑体" w:eastAsia="黑体" w:cs="黑体"/>
                <w:kern w:val="0"/>
                <w:sz w:val="24"/>
                <w:szCs w:val="20"/>
                <w:highlight w:val="none"/>
                <w:lang w:val="en-US" w:eastAsia="zh-CN"/>
              </w:rPr>
              <w:t>5</w:t>
            </w:r>
          </w:p>
        </w:tc>
        <w:tc>
          <w:tcPr>
            <w:tcW w:w="6777" w:type="dxa"/>
            <w:tcBorders>
              <w:tl2br w:val="nil"/>
              <w:tr2bl w:val="nil"/>
            </w:tcBorders>
            <w:noWrap w:val="0"/>
            <w:vAlign w:val="center"/>
          </w:tcPr>
          <w:p>
            <w:pPr>
              <w:numPr>
                <w:ilvl w:val="0"/>
                <w:numId w:val="29"/>
              </w:numPr>
              <w:jc w:val="left"/>
              <w:rPr>
                <w:rFonts w:hint="eastAsia" w:ascii="Arial" w:hAnsi="Arial" w:eastAsia="楷体_GB2312" w:cs="Arial"/>
                <w:sz w:val="24"/>
                <w:highlight w:val="none"/>
                <w:lang w:val="en-US" w:eastAsia="zh-Hans"/>
              </w:rPr>
            </w:pPr>
            <w:r>
              <w:rPr>
                <w:rFonts w:hint="eastAsia" w:ascii="Arial" w:hAnsi="Arial" w:eastAsia="楷体_GB2312" w:cs="Arial"/>
                <w:sz w:val="24"/>
                <w:highlight w:val="none"/>
                <w:lang w:val="en-US" w:eastAsia="zh-Hans"/>
              </w:rPr>
              <w:t>供应商提供的与软件需求</w:t>
            </w:r>
            <w:r>
              <w:rPr>
                <w:rFonts w:hint="default" w:ascii="Arial" w:hAnsi="Arial" w:eastAsia="楷体_GB2312" w:cs="Arial"/>
                <w:sz w:val="24"/>
                <w:highlight w:val="none"/>
                <w:lang w:val="en-US" w:eastAsia="zh-Hans"/>
              </w:rPr>
              <w:t>、</w:t>
            </w:r>
            <w:r>
              <w:rPr>
                <w:rFonts w:hint="eastAsia" w:ascii="Arial" w:hAnsi="Arial" w:eastAsia="楷体_GB2312" w:cs="Arial"/>
                <w:sz w:val="24"/>
                <w:highlight w:val="none"/>
                <w:lang w:val="en-US" w:eastAsia="zh-Hans"/>
              </w:rPr>
              <w:t>编码</w:t>
            </w:r>
            <w:r>
              <w:rPr>
                <w:rFonts w:hint="default" w:ascii="Arial" w:hAnsi="Arial" w:eastAsia="楷体_GB2312" w:cs="Arial"/>
                <w:sz w:val="24"/>
                <w:highlight w:val="none"/>
                <w:lang w:val="en-US" w:eastAsia="zh-Hans"/>
              </w:rPr>
              <w:t>、</w:t>
            </w:r>
            <w:r>
              <w:rPr>
                <w:rFonts w:hint="eastAsia" w:ascii="Arial" w:hAnsi="Arial" w:eastAsia="楷体_GB2312" w:cs="Arial"/>
                <w:sz w:val="24"/>
                <w:highlight w:val="none"/>
                <w:lang w:val="en-US" w:eastAsia="zh-Hans"/>
              </w:rPr>
              <w:t>测试等专业工具接口的可行性设计方案</w:t>
            </w:r>
            <w:r>
              <w:rPr>
                <w:rFonts w:hint="eastAsia" w:ascii="Arial" w:hAnsi="Arial" w:eastAsia="楷体_GB2312" w:cs="Arial"/>
                <w:b/>
                <w:bCs/>
                <w:sz w:val="24"/>
                <w:highlight w:val="none"/>
                <w:lang w:val="en-US" w:eastAsia="zh-Hans"/>
              </w:rPr>
              <w:t>能够在</w:t>
            </w:r>
            <w:r>
              <w:rPr>
                <w:rFonts w:hint="eastAsia" w:ascii="Arial" w:hAnsi="Arial" w:eastAsia="楷体_GB2312" w:cs="Arial"/>
                <w:b/>
                <w:bCs/>
                <w:sz w:val="24"/>
                <w:highlight w:val="none"/>
                <w:lang w:val="en-US" w:eastAsia="zh-CN"/>
              </w:rPr>
              <w:t>采购人</w:t>
            </w:r>
            <w:r>
              <w:rPr>
                <w:rFonts w:hint="eastAsia" w:ascii="Arial" w:hAnsi="Arial" w:eastAsia="楷体_GB2312" w:cs="Arial"/>
                <w:b/>
                <w:bCs/>
                <w:sz w:val="24"/>
                <w:highlight w:val="none"/>
                <w:lang w:val="en-US" w:eastAsia="zh-Hans"/>
              </w:rPr>
              <w:t>现有</w:t>
            </w:r>
            <w:r>
              <w:rPr>
                <w:rFonts w:hint="eastAsia" w:ascii="Arial" w:hAnsi="Arial" w:eastAsia="楷体_GB2312" w:cs="Arial"/>
                <w:b/>
                <w:bCs/>
                <w:sz w:val="24"/>
                <w:highlight w:val="none"/>
                <w:lang w:val="en-US" w:eastAsia="zh-CN"/>
              </w:rPr>
              <w:t>的国产化</w:t>
            </w:r>
            <w:r>
              <w:rPr>
                <w:rFonts w:hint="eastAsia" w:ascii="Arial" w:hAnsi="Arial" w:eastAsia="楷体_GB2312" w:cs="Arial"/>
                <w:b/>
                <w:bCs/>
                <w:sz w:val="24"/>
                <w:highlight w:val="none"/>
                <w:lang w:val="en-US" w:eastAsia="zh-Hans"/>
              </w:rPr>
              <w:t>运行环境中部署的</w:t>
            </w:r>
            <w:r>
              <w:rPr>
                <w:rFonts w:hint="default" w:ascii="Arial" w:hAnsi="Arial" w:eastAsia="楷体_GB2312" w:cs="Arial"/>
                <w:b/>
                <w:bCs/>
                <w:sz w:val="24"/>
                <w:highlight w:val="none"/>
                <w:lang w:eastAsia="zh-Hans"/>
              </w:rPr>
              <w:t>，</w:t>
            </w:r>
            <w:r>
              <w:rPr>
                <w:rFonts w:hint="eastAsia" w:ascii="Arial" w:hAnsi="Arial" w:eastAsia="楷体_GB2312" w:cs="Arial"/>
                <w:sz w:val="24"/>
                <w:highlight w:val="none"/>
                <w:lang w:val="en-US" w:eastAsia="zh-Hans"/>
              </w:rPr>
              <w:t>得</w:t>
            </w:r>
            <w:r>
              <w:rPr>
                <w:rFonts w:hint="eastAsia" w:ascii="Arial" w:hAnsi="Arial" w:eastAsia="楷体_GB2312" w:cs="Arial"/>
                <w:sz w:val="24"/>
                <w:highlight w:val="none"/>
                <w:lang w:val="en-US" w:eastAsia="zh-CN"/>
              </w:rPr>
              <w:t>1</w:t>
            </w:r>
            <w:r>
              <w:rPr>
                <w:rFonts w:hint="eastAsia" w:ascii="Arial" w:hAnsi="Arial" w:eastAsia="楷体_GB2312" w:cs="Arial"/>
                <w:sz w:val="24"/>
                <w:highlight w:val="none"/>
                <w:lang w:val="en-US" w:eastAsia="zh-Hans"/>
              </w:rPr>
              <w:t>分</w:t>
            </w:r>
            <w:r>
              <w:rPr>
                <w:rFonts w:hint="eastAsia" w:ascii="Arial" w:hAnsi="Arial" w:eastAsia="楷体_GB2312" w:cs="Arial"/>
                <w:sz w:val="24"/>
                <w:highlight w:val="none"/>
                <w:lang w:val="en-US" w:eastAsia="zh-CN"/>
              </w:rPr>
              <w:t>，否则不得分</w:t>
            </w:r>
            <w:r>
              <w:rPr>
                <w:rFonts w:hint="default" w:ascii="Arial" w:hAnsi="Arial" w:eastAsia="楷体_GB2312" w:cs="Arial"/>
                <w:sz w:val="24"/>
                <w:highlight w:val="none"/>
                <w:lang w:eastAsia="zh-Hans"/>
              </w:rPr>
              <w:t>。</w:t>
            </w:r>
          </w:p>
          <w:p>
            <w:pPr>
              <w:numPr>
                <w:ilvl w:val="0"/>
                <w:numId w:val="29"/>
              </w:numPr>
              <w:jc w:val="left"/>
              <w:rPr>
                <w:rFonts w:hint="eastAsia" w:ascii="Arial" w:hAnsi="Arial" w:eastAsia="楷体_GB2312" w:cs="Arial"/>
                <w:sz w:val="24"/>
                <w:highlight w:val="none"/>
                <w:lang w:val="en-US" w:eastAsia="zh-Hans"/>
              </w:rPr>
            </w:pPr>
            <w:r>
              <w:rPr>
                <w:rFonts w:hint="eastAsia" w:ascii="Arial" w:hAnsi="Arial" w:eastAsia="楷体_GB2312" w:cs="Arial"/>
                <w:sz w:val="24"/>
                <w:highlight w:val="none"/>
                <w:lang w:val="en-US" w:eastAsia="zh-CN"/>
              </w:rPr>
              <w:t>可在其他开发环境中部署软件管理平台的同步管理套件，通过人工方式实现对平台数据进行异地同步，提供满足上述要求的相应方案得1分，方案不满足要求或未提供方案不得分。</w:t>
            </w:r>
          </w:p>
          <w:p>
            <w:pPr>
              <w:numPr>
                <w:ilvl w:val="0"/>
                <w:numId w:val="29"/>
              </w:numPr>
              <w:jc w:val="left"/>
              <w:rPr>
                <w:rFonts w:hint="eastAsia" w:ascii="Arial" w:hAnsi="Arial" w:eastAsia="楷体_GB2312" w:cs="Arial"/>
                <w:sz w:val="24"/>
                <w:highlight w:val="none"/>
                <w:lang w:val="en-US" w:eastAsia="zh-Hans"/>
              </w:rPr>
            </w:pPr>
            <w:r>
              <w:rPr>
                <w:rFonts w:hint="eastAsia" w:ascii="Arial" w:hAnsi="Arial" w:eastAsia="楷体_GB2312" w:cs="Arial"/>
                <w:sz w:val="24"/>
                <w:highlight w:val="none"/>
                <w:lang w:val="en-US" w:eastAsia="zh-Hans"/>
              </w:rPr>
              <w:t>供应商提供的与软件需求</w:t>
            </w:r>
            <w:r>
              <w:rPr>
                <w:rFonts w:hint="default" w:ascii="Arial" w:hAnsi="Arial" w:eastAsia="楷体_GB2312" w:cs="Arial"/>
                <w:sz w:val="24"/>
                <w:highlight w:val="none"/>
                <w:lang w:val="en-US" w:eastAsia="zh-Hans"/>
              </w:rPr>
              <w:t>、</w:t>
            </w:r>
            <w:r>
              <w:rPr>
                <w:rFonts w:hint="eastAsia" w:ascii="Arial" w:hAnsi="Arial" w:eastAsia="楷体_GB2312" w:cs="Arial"/>
                <w:sz w:val="24"/>
                <w:highlight w:val="none"/>
                <w:lang w:val="en-US" w:eastAsia="zh-Hans"/>
              </w:rPr>
              <w:t>编码</w:t>
            </w:r>
            <w:r>
              <w:rPr>
                <w:rFonts w:hint="default" w:ascii="Arial" w:hAnsi="Arial" w:eastAsia="楷体_GB2312" w:cs="Arial"/>
                <w:sz w:val="24"/>
                <w:highlight w:val="none"/>
                <w:lang w:val="en-US" w:eastAsia="zh-Hans"/>
              </w:rPr>
              <w:t>、</w:t>
            </w:r>
            <w:r>
              <w:rPr>
                <w:rFonts w:hint="eastAsia" w:ascii="Arial" w:hAnsi="Arial" w:eastAsia="楷体_GB2312" w:cs="Arial"/>
                <w:sz w:val="24"/>
                <w:highlight w:val="none"/>
                <w:lang w:val="en-US" w:eastAsia="zh-Hans"/>
              </w:rPr>
              <w:t>测试等专业工具接口的可行性设计方案</w:t>
            </w:r>
            <w:r>
              <w:rPr>
                <w:rFonts w:hint="default" w:ascii="Arial" w:hAnsi="Arial" w:eastAsia="楷体_GB2312" w:cs="Arial"/>
                <w:sz w:val="24"/>
                <w:highlight w:val="none"/>
                <w:lang w:val="en-US" w:eastAsia="zh-Hans"/>
              </w:rPr>
              <w:t>，</w:t>
            </w:r>
            <w:r>
              <w:rPr>
                <w:rFonts w:hint="eastAsia" w:ascii="Arial" w:hAnsi="Arial" w:eastAsia="楷体_GB2312" w:cs="Arial"/>
                <w:sz w:val="24"/>
                <w:highlight w:val="none"/>
                <w:lang w:val="en-US" w:eastAsia="zh-Hans"/>
              </w:rPr>
              <w:t>已经有实施成功案例的</w:t>
            </w:r>
            <w:r>
              <w:rPr>
                <w:rFonts w:hint="default" w:ascii="Arial" w:hAnsi="Arial" w:eastAsia="楷体_GB2312" w:cs="Arial"/>
                <w:sz w:val="24"/>
                <w:highlight w:val="none"/>
                <w:lang w:eastAsia="zh-Hans"/>
              </w:rPr>
              <w:t>（</w:t>
            </w:r>
            <w:r>
              <w:rPr>
                <w:rFonts w:hint="eastAsia" w:ascii="Arial" w:hAnsi="Arial" w:eastAsia="楷体_GB2312" w:cs="Arial"/>
                <w:sz w:val="24"/>
                <w:highlight w:val="none"/>
                <w:lang w:val="en-US" w:eastAsia="zh-CN"/>
              </w:rPr>
              <w:t>需</w:t>
            </w:r>
            <w:r>
              <w:rPr>
                <w:rFonts w:hint="eastAsia" w:ascii="Arial" w:hAnsi="Arial" w:eastAsia="楷体_GB2312" w:cs="Arial"/>
                <w:sz w:val="24"/>
                <w:highlight w:val="none"/>
                <w:lang w:val="en-US" w:eastAsia="zh-Hans"/>
              </w:rPr>
              <w:t>提供</w:t>
            </w:r>
            <w:r>
              <w:rPr>
                <w:rFonts w:hint="eastAsia" w:ascii="Arial" w:hAnsi="Arial" w:eastAsia="楷体_GB2312" w:cs="Arial"/>
                <w:sz w:val="24"/>
                <w:highlight w:val="none"/>
                <w:lang w:val="en-US" w:eastAsia="zh-CN"/>
              </w:rPr>
              <w:t>实施</w:t>
            </w:r>
            <w:r>
              <w:rPr>
                <w:rFonts w:hint="eastAsia" w:ascii="Arial" w:hAnsi="Arial" w:eastAsia="楷体_GB2312" w:cs="Arial"/>
                <w:sz w:val="24"/>
                <w:highlight w:val="none"/>
                <w:lang w:val="en-US" w:eastAsia="zh-Hans"/>
              </w:rPr>
              <w:t>案例</w:t>
            </w:r>
            <w:r>
              <w:rPr>
                <w:rFonts w:hint="eastAsia" w:ascii="Arial" w:hAnsi="Arial" w:eastAsia="楷体_GB2312" w:cs="Arial"/>
                <w:sz w:val="24"/>
                <w:highlight w:val="none"/>
                <w:lang w:val="en-US" w:eastAsia="zh-CN"/>
              </w:rPr>
              <w:t>的相应合同</w:t>
            </w:r>
            <w:r>
              <w:rPr>
                <w:rFonts w:hint="eastAsia" w:ascii="Arial" w:hAnsi="Arial" w:eastAsia="楷体_GB2312" w:cs="Arial"/>
                <w:sz w:val="24"/>
                <w:highlight w:val="none"/>
                <w:lang w:eastAsia="zh-CN"/>
              </w:rPr>
              <w:t>，</w:t>
            </w:r>
            <w:r>
              <w:rPr>
                <w:rFonts w:hint="eastAsia" w:ascii="Arial" w:hAnsi="Arial" w:eastAsia="楷体_GB2312" w:cs="Arial"/>
                <w:sz w:val="24"/>
                <w:highlight w:val="none"/>
                <w:lang w:val="en-US" w:eastAsia="zh-CN"/>
              </w:rPr>
              <w:t>至少需包括签字页和关键页</w:t>
            </w:r>
            <w:r>
              <w:rPr>
                <w:rFonts w:hint="default" w:ascii="Arial" w:hAnsi="Arial" w:eastAsia="楷体_GB2312" w:cs="Arial"/>
                <w:sz w:val="24"/>
                <w:highlight w:val="none"/>
                <w:lang w:eastAsia="zh-Hans"/>
              </w:rPr>
              <w:t>）</w:t>
            </w:r>
            <w:r>
              <w:rPr>
                <w:rFonts w:hint="default" w:ascii="Arial" w:hAnsi="Arial" w:eastAsia="楷体_GB2312" w:cs="Arial"/>
                <w:sz w:val="24"/>
                <w:highlight w:val="none"/>
                <w:lang w:val="en-US" w:eastAsia="zh-Hans"/>
              </w:rPr>
              <w:t>，</w:t>
            </w:r>
            <w:r>
              <w:rPr>
                <w:rFonts w:hint="eastAsia" w:ascii="Arial" w:hAnsi="Arial" w:eastAsia="楷体_GB2312" w:cs="Arial"/>
                <w:sz w:val="24"/>
                <w:highlight w:val="none"/>
                <w:lang w:val="en-US" w:eastAsia="zh-Hans"/>
              </w:rPr>
              <w:t>得</w:t>
            </w:r>
            <w:r>
              <w:rPr>
                <w:rFonts w:hint="default" w:ascii="Arial" w:hAnsi="Arial" w:eastAsia="楷体_GB2312" w:cs="Arial"/>
                <w:sz w:val="24"/>
                <w:highlight w:val="none"/>
                <w:lang w:eastAsia="zh-Hans"/>
              </w:rPr>
              <w:t>3</w:t>
            </w:r>
            <w:r>
              <w:rPr>
                <w:rFonts w:hint="eastAsia" w:ascii="Arial" w:hAnsi="Arial" w:eastAsia="楷体_GB2312" w:cs="Arial"/>
                <w:sz w:val="24"/>
                <w:highlight w:val="none"/>
                <w:lang w:val="en-US" w:eastAsia="zh-Hans"/>
              </w:rPr>
              <w:t>分</w:t>
            </w:r>
            <w:r>
              <w:rPr>
                <w:rFonts w:hint="eastAsia" w:ascii="Arial" w:hAnsi="Arial" w:eastAsia="楷体_GB2312" w:cs="Arial"/>
                <w:sz w:val="24"/>
                <w:highlight w:val="none"/>
                <w:lang w:val="en-US" w:eastAsia="zh-CN"/>
              </w:rPr>
              <w:t>，否则不得分</w:t>
            </w:r>
            <w:r>
              <w:rPr>
                <w:rFonts w:hint="default" w:ascii="Arial" w:hAnsi="Arial" w:eastAsia="楷体_GB2312" w:cs="Arial"/>
                <w:sz w:val="24"/>
                <w:highlight w:val="none"/>
                <w:lang w:eastAsia="zh-Hans"/>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12" w:hRule="atLeast"/>
          <w:jc w:val="center"/>
        </w:trPr>
        <w:tc>
          <w:tcPr>
            <w:tcW w:w="1240" w:type="dxa"/>
            <w:vMerge w:val="continue"/>
            <w:tcBorders>
              <w:tl2br w:val="nil"/>
              <w:tr2bl w:val="nil"/>
            </w:tcBorders>
            <w:noWrap w:val="0"/>
            <w:vAlign w:val="center"/>
          </w:tcPr>
          <w:p>
            <w:pPr>
              <w:widowControl/>
              <w:jc w:val="center"/>
              <w:rPr>
                <w:rFonts w:hint="eastAsia" w:ascii="黑体" w:hAnsi="黑体" w:eastAsia="黑体" w:cs="黑体"/>
                <w:kern w:val="0"/>
                <w:sz w:val="24"/>
                <w:szCs w:val="20"/>
                <w:highlight w:val="none"/>
              </w:rPr>
            </w:pPr>
          </w:p>
        </w:tc>
        <w:tc>
          <w:tcPr>
            <w:tcW w:w="1484" w:type="dxa"/>
            <w:tcBorders>
              <w:tl2br w:val="nil"/>
              <w:tr2bl w:val="nil"/>
            </w:tcBorders>
            <w:noWrap w:val="0"/>
            <w:vAlign w:val="center"/>
          </w:tcPr>
          <w:p>
            <w:pPr>
              <w:widowControl/>
              <w:jc w:val="center"/>
              <w:rPr>
                <w:rFonts w:hint="eastAsia" w:ascii="黑体" w:hAnsi="黑体" w:eastAsia="黑体" w:cs="黑体"/>
                <w:kern w:val="0"/>
                <w:sz w:val="24"/>
                <w:szCs w:val="20"/>
                <w:highlight w:val="none"/>
                <w:lang w:val="en-US" w:eastAsia="zh-Hans"/>
              </w:rPr>
            </w:pPr>
            <w:r>
              <w:rPr>
                <w:rFonts w:hint="eastAsia" w:ascii="黑体" w:hAnsi="黑体" w:eastAsia="黑体" w:cs="黑体"/>
                <w:kern w:val="0"/>
                <w:sz w:val="24"/>
                <w:szCs w:val="20"/>
                <w:highlight w:val="none"/>
              </w:rPr>
              <w:t>节能、环境标志、无线局域网产品</w:t>
            </w:r>
          </w:p>
        </w:tc>
        <w:tc>
          <w:tcPr>
            <w:tcW w:w="709" w:type="dxa"/>
            <w:tcBorders>
              <w:tl2br w:val="nil"/>
              <w:tr2bl w:val="nil"/>
            </w:tcBorders>
            <w:noWrap w:val="0"/>
            <w:vAlign w:val="center"/>
          </w:tcPr>
          <w:p>
            <w:pPr>
              <w:widowControl/>
              <w:jc w:val="center"/>
              <w:rPr>
                <w:rFonts w:hint="default" w:ascii="黑体" w:hAnsi="黑体" w:eastAsia="黑体" w:cs="黑体"/>
                <w:kern w:val="0"/>
                <w:sz w:val="24"/>
                <w:szCs w:val="20"/>
                <w:highlight w:val="none"/>
                <w:lang w:eastAsia="zh-CN"/>
              </w:rPr>
            </w:pPr>
            <w:r>
              <w:rPr>
                <w:rFonts w:hint="eastAsia" w:ascii="黑体" w:hAnsi="黑体" w:eastAsia="黑体" w:cs="黑体"/>
                <w:kern w:val="0"/>
                <w:sz w:val="24"/>
                <w:szCs w:val="20"/>
                <w:highlight w:val="none"/>
              </w:rPr>
              <w:t>1</w:t>
            </w:r>
          </w:p>
        </w:tc>
        <w:tc>
          <w:tcPr>
            <w:tcW w:w="6777" w:type="dxa"/>
            <w:tcBorders>
              <w:tl2br w:val="nil"/>
              <w:tr2bl w:val="nil"/>
            </w:tcBorders>
            <w:noWrap w:val="0"/>
            <w:vAlign w:val="center"/>
          </w:tcPr>
          <w:p>
            <w:pPr>
              <w:jc w:val="left"/>
              <w:rPr>
                <w:rFonts w:hint="eastAsia" w:ascii="Arial" w:hAnsi="Arial" w:eastAsia="楷体_GB2312" w:cs="Arial"/>
                <w:sz w:val="24"/>
                <w:highlight w:val="none"/>
              </w:rPr>
            </w:pPr>
            <w:r>
              <w:rPr>
                <w:rFonts w:hint="eastAsia" w:ascii="Arial" w:hAnsi="Arial" w:eastAsia="楷体_GB2312" w:cs="Arial"/>
                <w:sz w:val="24"/>
                <w:highlight w:val="none"/>
              </w:rPr>
              <w:t>供货产品中属于政府采购优先采购范围的，则每有一项为节能产品或者环境标志产品或者无线局域网产品的得0.5分，非节能、环境标志产品的、无线局域网产品的不得分。本项最多得1分。</w:t>
            </w:r>
          </w:p>
          <w:p>
            <w:pPr>
              <w:jc w:val="left"/>
              <w:rPr>
                <w:rFonts w:hint="eastAsia" w:ascii="Arial" w:hAnsi="Arial" w:eastAsia="楷体_GB2312" w:cs="Arial"/>
                <w:sz w:val="24"/>
                <w:highlight w:val="none"/>
              </w:rPr>
            </w:pPr>
            <w:r>
              <w:rPr>
                <w:rFonts w:hint="eastAsia" w:ascii="Arial" w:hAnsi="Arial" w:eastAsia="楷体_GB2312" w:cs="Arial"/>
                <w:sz w:val="24"/>
                <w:highlight w:val="none"/>
              </w:rPr>
              <w:t>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w:t>
            </w:r>
          </w:p>
          <w:p>
            <w:pPr>
              <w:jc w:val="left"/>
              <w:rPr>
                <w:rFonts w:hint="eastAsia" w:ascii="Arial" w:hAnsi="Arial" w:eastAsia="楷体_GB2312" w:cs="Arial"/>
                <w:sz w:val="24"/>
                <w:highlight w:val="none"/>
              </w:rPr>
            </w:pPr>
            <w:r>
              <w:rPr>
                <w:rFonts w:hint="eastAsia" w:ascii="Arial" w:hAnsi="Arial" w:eastAsia="楷体_GB2312" w:cs="Arial"/>
                <w:sz w:val="24"/>
                <w:highlight w:val="none"/>
              </w:rPr>
              <w:t>2.供货产品属于优先采购范围内的节能产品或者环境标志产品的，提供国家确定的认证机构出具的、处于有效期之内的节能产品、环境标志产品认证证书复印件加盖供应商公章（鲜章）。</w:t>
            </w:r>
          </w:p>
          <w:p>
            <w:pPr>
              <w:jc w:val="left"/>
              <w:rPr>
                <w:rFonts w:hint="eastAsia" w:ascii="Arial" w:hAnsi="Arial" w:eastAsia="楷体_GB2312" w:cs="Arial"/>
                <w:sz w:val="24"/>
                <w:highlight w:val="none"/>
                <w:lang w:val="en-US" w:eastAsia="zh-Hans" w:bidi="ar-SA"/>
              </w:rPr>
            </w:pPr>
            <w:r>
              <w:rPr>
                <w:rFonts w:hint="eastAsia" w:ascii="Arial" w:hAnsi="Arial" w:eastAsia="楷体_GB2312" w:cs="Arial"/>
                <w:sz w:val="24"/>
                <w:highlight w:val="none"/>
              </w:rPr>
              <w:t>3.供货产品属于优先采购范围内的无线局域网产品的，提供政府采购清单对应页并加盖供应商单位公章（鲜章）。</w:t>
            </w:r>
          </w:p>
        </w:tc>
      </w:tr>
    </w:tbl>
    <w:p>
      <w:pPr>
        <w:pStyle w:val="2"/>
        <w:rPr>
          <w:color w:val="auto"/>
          <w:highlight w:val="none"/>
        </w:rPr>
      </w:pPr>
    </w:p>
    <w:p>
      <w:pPr>
        <w:rPr>
          <w:color w:val="auto"/>
          <w:highlight w:val="none"/>
        </w:rPr>
      </w:pPr>
      <w:r>
        <w:rPr>
          <w:color w:val="auto"/>
          <w:highlight w:val="none"/>
        </w:rPr>
        <w:br w:type="page"/>
      </w:r>
    </w:p>
    <w:p>
      <w:pPr>
        <w:numPr>
          <w:ilvl w:val="0"/>
          <w:numId w:val="30"/>
        </w:numPr>
        <w:tabs>
          <w:tab w:val="left" w:pos="7665"/>
        </w:tabs>
        <w:spacing w:line="360" w:lineRule="auto"/>
        <w:ind w:firstLine="640" w:firstLineChars="200"/>
        <w:jc w:val="center"/>
        <w:outlineLvl w:val="0"/>
        <w:rPr>
          <w:rFonts w:ascii="Times New Roman" w:hAnsi="Times New Roman" w:eastAsia="黑体"/>
          <w:bCs/>
          <w:color w:val="auto"/>
          <w:sz w:val="32"/>
          <w:szCs w:val="32"/>
          <w:highlight w:val="none"/>
        </w:rPr>
      </w:pPr>
      <w:bookmarkStart w:id="191" w:name="_Toc19371"/>
      <w:r>
        <w:rPr>
          <w:rFonts w:ascii="Times New Roman" w:hAnsi="Times New Roman" w:eastAsia="黑体"/>
          <w:bCs/>
          <w:color w:val="auto"/>
          <w:sz w:val="32"/>
          <w:szCs w:val="32"/>
          <w:highlight w:val="none"/>
        </w:rPr>
        <w:t>采购合同</w:t>
      </w:r>
      <w:bookmarkEnd w:id="191"/>
      <w:r>
        <w:rPr>
          <w:rFonts w:hint="eastAsia" w:ascii="Times New Roman" w:hAnsi="Times New Roman" w:eastAsia="黑体"/>
          <w:bCs/>
          <w:color w:val="auto"/>
          <w:sz w:val="32"/>
          <w:szCs w:val="32"/>
          <w:highlight w:val="none"/>
        </w:rPr>
        <w:t>草案</w:t>
      </w:r>
    </w:p>
    <w:p>
      <w:pPr>
        <w:snapToGrid w:val="0"/>
        <w:textAlignment w:val="baseline"/>
        <w:rPr>
          <w:rStyle w:val="296"/>
          <w:rFonts w:hAnsi="宋体"/>
          <w:color w:val="auto"/>
          <w:sz w:val="24"/>
          <w:szCs w:val="22"/>
          <w:highlight w:val="none"/>
        </w:rPr>
      </w:pPr>
    </w:p>
    <w:tbl>
      <w:tblPr>
        <w:tblStyle w:val="46"/>
        <w:tblpPr w:leftFromText="180" w:rightFromText="180" w:vertAnchor="page" w:horzAnchor="page" w:tblpX="1225" w:tblpY="2589"/>
        <w:tblW w:w="0" w:type="auto"/>
        <w:tblInd w:w="0" w:type="dxa"/>
        <w:tblLayout w:type="autofit"/>
        <w:tblCellMar>
          <w:top w:w="0" w:type="dxa"/>
          <w:left w:w="0" w:type="dxa"/>
          <w:bottom w:w="0" w:type="dxa"/>
          <w:right w:w="108" w:type="dxa"/>
        </w:tblCellMar>
      </w:tblPr>
      <w:tblGrid>
        <w:gridCol w:w="397"/>
        <w:gridCol w:w="397"/>
        <w:gridCol w:w="397"/>
        <w:gridCol w:w="397"/>
        <w:gridCol w:w="397"/>
        <w:gridCol w:w="397"/>
        <w:gridCol w:w="397"/>
        <w:gridCol w:w="397"/>
        <w:gridCol w:w="397"/>
        <w:gridCol w:w="397"/>
        <w:gridCol w:w="397"/>
        <w:gridCol w:w="397"/>
        <w:gridCol w:w="397"/>
        <w:gridCol w:w="397"/>
      </w:tblGrid>
      <w:tr>
        <w:tblPrEx>
          <w:tblCellMar>
            <w:top w:w="0" w:type="dxa"/>
            <w:left w:w="0" w:type="dxa"/>
            <w:bottom w:w="0" w:type="dxa"/>
            <w:right w:w="108" w:type="dxa"/>
          </w:tblCellMar>
        </w:tblPrEx>
        <w:trPr>
          <w:trHeight w:val="575" w:hRule="atLeast"/>
        </w:trPr>
        <w:tc>
          <w:tcPr>
            <w:tcW w:w="5558" w:type="dxa"/>
            <w:gridSpan w:val="14"/>
            <w:tcBorders>
              <w:bottom w:val="single" w:color="auto" w:sz="4" w:space="0"/>
            </w:tcBorders>
            <w:noWrap w:val="0"/>
            <w:vAlign w:val="top"/>
          </w:tcPr>
          <w:p>
            <w:pPr>
              <w:spacing w:after="60"/>
              <w:rPr>
                <w:rFonts w:ascii="宋体" w:eastAsia="黑体" w:cs="Times New Roman"/>
                <w:sz w:val="28"/>
                <w:szCs w:val="28"/>
                <w:highlight w:val="none"/>
              </w:rPr>
            </w:pPr>
            <w:r>
              <w:rPr>
                <w:rFonts w:hint="eastAsia" w:ascii="宋体" w:eastAsia="黑体" w:cs="Times New Roman"/>
                <w:sz w:val="28"/>
                <w:szCs w:val="28"/>
                <w:highlight w:val="none"/>
              </w:rPr>
              <w:t>所统一编号：</w:t>
            </w:r>
          </w:p>
        </w:tc>
      </w:tr>
      <w:tr>
        <w:tblPrEx>
          <w:tblCellMar>
            <w:top w:w="0" w:type="dxa"/>
            <w:left w:w="0" w:type="dxa"/>
            <w:bottom w:w="0" w:type="dxa"/>
            <w:right w:w="108" w:type="dxa"/>
          </w:tblCellMar>
        </w:tblPrEx>
        <w:trPr>
          <w:trHeight w:val="510" w:hRule="atLeast"/>
        </w:trPr>
        <w:tc>
          <w:tcPr>
            <w:tcW w:w="397" w:type="dxa"/>
            <w:tcBorders>
              <w:top w:val="single" w:color="auto" w:sz="4" w:space="0"/>
              <w:left w:val="single" w:color="auto" w:sz="4" w:space="0"/>
              <w:bottom w:val="single" w:color="auto" w:sz="4" w:space="0"/>
              <w:right w:val="single" w:color="auto" w:sz="4" w:space="0"/>
            </w:tcBorders>
            <w:noWrap w:val="0"/>
            <w:tcMar>
              <w:right w:w="0" w:type="dxa"/>
            </w:tcMar>
            <w:vAlign w:val="center"/>
          </w:tcPr>
          <w:p>
            <w:pPr>
              <w:jc w:val="center"/>
              <w:rPr>
                <w:rFonts w:ascii="宋体" w:eastAsia="宋体" w:cs="Times New Roman"/>
                <w:sz w:val="28"/>
                <w:szCs w:val="28"/>
                <w:highlight w:val="none"/>
              </w:rPr>
            </w:pPr>
          </w:p>
        </w:tc>
        <w:tc>
          <w:tcPr>
            <w:tcW w:w="397" w:type="dxa"/>
            <w:tcBorders>
              <w:top w:val="single" w:color="auto" w:sz="4" w:space="0"/>
              <w:left w:val="single" w:color="auto" w:sz="4" w:space="0"/>
              <w:bottom w:val="single" w:color="auto" w:sz="4" w:space="0"/>
              <w:right w:val="single" w:color="auto" w:sz="4" w:space="0"/>
            </w:tcBorders>
            <w:noWrap w:val="0"/>
            <w:tcMar>
              <w:right w:w="0" w:type="dxa"/>
            </w:tcMar>
            <w:vAlign w:val="center"/>
          </w:tcPr>
          <w:p>
            <w:pPr>
              <w:jc w:val="center"/>
              <w:rPr>
                <w:rFonts w:ascii="宋体" w:eastAsia="宋体" w:cs="Times New Roman"/>
                <w:sz w:val="28"/>
                <w:szCs w:val="28"/>
                <w:highlight w:val="none"/>
              </w:rPr>
            </w:pPr>
          </w:p>
        </w:tc>
        <w:tc>
          <w:tcPr>
            <w:tcW w:w="397" w:type="dxa"/>
            <w:tcBorders>
              <w:top w:val="single" w:color="auto" w:sz="4" w:space="0"/>
              <w:left w:val="single" w:color="auto" w:sz="4" w:space="0"/>
              <w:bottom w:val="single" w:color="auto" w:sz="4" w:space="0"/>
              <w:right w:val="single" w:color="auto" w:sz="4" w:space="0"/>
            </w:tcBorders>
            <w:noWrap w:val="0"/>
            <w:tcMar>
              <w:right w:w="0" w:type="dxa"/>
            </w:tcMar>
            <w:vAlign w:val="center"/>
          </w:tcPr>
          <w:p>
            <w:pPr>
              <w:jc w:val="center"/>
              <w:rPr>
                <w:rFonts w:ascii="宋体" w:eastAsia="宋体" w:cs="Times New Roman"/>
                <w:sz w:val="28"/>
                <w:szCs w:val="28"/>
                <w:highlight w:val="none"/>
              </w:rPr>
            </w:pPr>
          </w:p>
        </w:tc>
        <w:tc>
          <w:tcPr>
            <w:tcW w:w="397" w:type="dxa"/>
            <w:tcBorders>
              <w:top w:val="single" w:color="auto" w:sz="4" w:space="0"/>
              <w:left w:val="single" w:color="auto" w:sz="4" w:space="0"/>
              <w:bottom w:val="single" w:color="auto" w:sz="4" w:space="0"/>
              <w:right w:val="single" w:color="auto" w:sz="4" w:space="0"/>
            </w:tcBorders>
            <w:noWrap w:val="0"/>
            <w:tcMar>
              <w:right w:w="0" w:type="dxa"/>
            </w:tcMar>
            <w:vAlign w:val="center"/>
          </w:tcPr>
          <w:p>
            <w:pPr>
              <w:jc w:val="center"/>
              <w:rPr>
                <w:rFonts w:ascii="宋体" w:eastAsia="宋体" w:cs="Times New Roman"/>
                <w:sz w:val="28"/>
                <w:szCs w:val="28"/>
                <w:highlight w:val="none"/>
              </w:rPr>
            </w:pPr>
          </w:p>
        </w:tc>
        <w:tc>
          <w:tcPr>
            <w:tcW w:w="397" w:type="dxa"/>
            <w:tcBorders>
              <w:top w:val="single" w:color="auto" w:sz="4" w:space="0"/>
              <w:left w:val="single" w:color="auto" w:sz="4" w:space="0"/>
              <w:bottom w:val="single" w:color="auto" w:sz="4" w:space="0"/>
              <w:right w:val="single" w:color="auto" w:sz="4" w:space="0"/>
            </w:tcBorders>
            <w:noWrap w:val="0"/>
            <w:tcMar>
              <w:right w:w="0" w:type="dxa"/>
            </w:tcMar>
            <w:vAlign w:val="center"/>
          </w:tcPr>
          <w:p>
            <w:pPr>
              <w:jc w:val="center"/>
              <w:rPr>
                <w:rFonts w:ascii="宋体" w:eastAsia="宋体" w:cs="Times New Roman"/>
                <w:sz w:val="28"/>
                <w:szCs w:val="28"/>
                <w:highlight w:val="none"/>
              </w:rPr>
            </w:pPr>
            <w:r>
              <w:rPr>
                <w:rFonts w:hint="eastAsia" w:ascii="宋体" w:eastAsia="宋体" w:cs="Times New Roman"/>
                <w:sz w:val="28"/>
                <w:szCs w:val="28"/>
                <w:highlight w:val="none"/>
              </w:rPr>
              <w:t>-</w:t>
            </w:r>
          </w:p>
        </w:tc>
        <w:tc>
          <w:tcPr>
            <w:tcW w:w="397" w:type="dxa"/>
            <w:tcBorders>
              <w:top w:val="single" w:color="auto" w:sz="4" w:space="0"/>
              <w:left w:val="single" w:color="auto" w:sz="4" w:space="0"/>
              <w:bottom w:val="single" w:color="auto" w:sz="4" w:space="0"/>
              <w:right w:val="single" w:color="auto" w:sz="4" w:space="0"/>
            </w:tcBorders>
            <w:noWrap w:val="0"/>
            <w:tcMar>
              <w:right w:w="0" w:type="dxa"/>
            </w:tcMar>
            <w:vAlign w:val="center"/>
          </w:tcPr>
          <w:p>
            <w:pPr>
              <w:jc w:val="center"/>
              <w:rPr>
                <w:rFonts w:ascii="宋体" w:eastAsia="宋体" w:cs="Times New Roman"/>
                <w:sz w:val="28"/>
                <w:szCs w:val="28"/>
                <w:highlight w:val="none"/>
              </w:rPr>
            </w:pPr>
          </w:p>
        </w:tc>
        <w:tc>
          <w:tcPr>
            <w:tcW w:w="397" w:type="dxa"/>
            <w:tcBorders>
              <w:top w:val="single" w:color="auto" w:sz="4" w:space="0"/>
              <w:left w:val="single" w:color="auto" w:sz="4" w:space="0"/>
              <w:bottom w:val="single" w:color="auto" w:sz="4" w:space="0"/>
              <w:right w:val="single" w:color="auto" w:sz="4" w:space="0"/>
            </w:tcBorders>
            <w:noWrap w:val="0"/>
            <w:tcMar>
              <w:right w:w="0" w:type="dxa"/>
            </w:tcMar>
            <w:vAlign w:val="center"/>
          </w:tcPr>
          <w:p>
            <w:pPr>
              <w:jc w:val="center"/>
              <w:rPr>
                <w:rFonts w:ascii="宋体" w:eastAsia="宋体" w:cs="Times New Roman"/>
                <w:sz w:val="28"/>
                <w:szCs w:val="28"/>
                <w:highlight w:val="none"/>
              </w:rPr>
            </w:pPr>
          </w:p>
        </w:tc>
        <w:tc>
          <w:tcPr>
            <w:tcW w:w="397" w:type="dxa"/>
            <w:tcBorders>
              <w:top w:val="single" w:color="auto" w:sz="4" w:space="0"/>
              <w:left w:val="single" w:color="auto" w:sz="4" w:space="0"/>
              <w:bottom w:val="single" w:color="auto" w:sz="4" w:space="0"/>
              <w:right w:val="single" w:color="auto" w:sz="4" w:space="0"/>
            </w:tcBorders>
            <w:noWrap w:val="0"/>
            <w:tcMar>
              <w:right w:w="0" w:type="dxa"/>
            </w:tcMar>
            <w:vAlign w:val="center"/>
          </w:tcPr>
          <w:p>
            <w:pPr>
              <w:jc w:val="center"/>
              <w:rPr>
                <w:rFonts w:ascii="宋体" w:eastAsia="宋体" w:cs="Times New Roman"/>
                <w:sz w:val="28"/>
                <w:szCs w:val="28"/>
                <w:highlight w:val="none"/>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eastAsia="宋体" w:cs="Times New Roman"/>
                <w:sz w:val="28"/>
                <w:szCs w:val="28"/>
                <w:highlight w:val="none"/>
              </w:rPr>
            </w:pPr>
          </w:p>
        </w:tc>
        <w:tc>
          <w:tcPr>
            <w:tcW w:w="397" w:type="dxa"/>
            <w:tcBorders>
              <w:top w:val="single" w:color="auto" w:sz="4" w:space="0"/>
              <w:left w:val="single" w:color="auto" w:sz="4" w:space="0"/>
              <w:bottom w:val="single" w:color="auto" w:sz="4" w:space="0"/>
              <w:right w:val="single" w:color="auto" w:sz="4" w:space="0"/>
            </w:tcBorders>
            <w:noWrap w:val="0"/>
            <w:tcMar>
              <w:right w:w="0" w:type="dxa"/>
            </w:tcMar>
            <w:vAlign w:val="center"/>
          </w:tcPr>
          <w:p>
            <w:pPr>
              <w:jc w:val="center"/>
              <w:rPr>
                <w:rFonts w:ascii="宋体" w:eastAsia="宋体" w:cs="Times New Roman"/>
                <w:sz w:val="28"/>
                <w:szCs w:val="28"/>
                <w:highlight w:val="none"/>
              </w:rPr>
            </w:pPr>
            <w:r>
              <w:rPr>
                <w:rFonts w:hint="eastAsia" w:ascii="宋体" w:eastAsia="宋体" w:cs="Times New Roman"/>
                <w:sz w:val="28"/>
                <w:szCs w:val="28"/>
                <w:highlight w:val="none"/>
              </w:rPr>
              <w:t>·</w:t>
            </w: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eastAsia="宋体" w:cs="Times New Roman"/>
                <w:sz w:val="28"/>
                <w:szCs w:val="28"/>
                <w:highlight w:val="none"/>
              </w:rPr>
            </w:pPr>
          </w:p>
        </w:tc>
        <w:tc>
          <w:tcPr>
            <w:tcW w:w="397" w:type="dxa"/>
            <w:tcBorders>
              <w:top w:val="single" w:color="auto" w:sz="4" w:space="0"/>
              <w:left w:val="single" w:color="auto" w:sz="4" w:space="0"/>
              <w:bottom w:val="single" w:color="auto" w:sz="4" w:space="0"/>
              <w:right w:val="single" w:color="auto" w:sz="4" w:space="0"/>
            </w:tcBorders>
            <w:noWrap w:val="0"/>
            <w:tcMar>
              <w:right w:w="0" w:type="dxa"/>
            </w:tcMar>
            <w:vAlign w:val="center"/>
          </w:tcPr>
          <w:p>
            <w:pPr>
              <w:jc w:val="center"/>
              <w:rPr>
                <w:rFonts w:ascii="宋体" w:eastAsia="宋体" w:cs="Times New Roman"/>
                <w:sz w:val="28"/>
                <w:szCs w:val="28"/>
                <w:highlight w:val="none"/>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eastAsia="宋体" w:cs="Times New Roman"/>
                <w:sz w:val="28"/>
                <w:szCs w:val="28"/>
                <w:highlight w:val="none"/>
              </w:rPr>
            </w:pPr>
            <w:r>
              <w:rPr>
                <w:rFonts w:hint="eastAsia" w:ascii="宋体" w:eastAsia="宋体" w:cs="Times New Roman"/>
                <w:sz w:val="28"/>
                <w:szCs w:val="28"/>
                <w:highlight w:val="none"/>
              </w:rPr>
              <w:t>·</w:t>
            </w:r>
          </w:p>
        </w:tc>
        <w:tc>
          <w:tcPr>
            <w:tcW w:w="397" w:type="dxa"/>
            <w:tcBorders>
              <w:top w:val="single" w:color="auto" w:sz="4" w:space="0"/>
              <w:left w:val="single" w:color="auto" w:sz="4" w:space="0"/>
              <w:bottom w:val="single" w:color="auto" w:sz="4" w:space="0"/>
              <w:right w:val="single" w:color="auto" w:sz="4" w:space="0"/>
            </w:tcBorders>
            <w:noWrap w:val="0"/>
            <w:tcMar>
              <w:right w:w="0" w:type="dxa"/>
            </w:tcMar>
            <w:vAlign w:val="center"/>
          </w:tcPr>
          <w:p>
            <w:pPr>
              <w:jc w:val="center"/>
              <w:rPr>
                <w:rFonts w:ascii="宋体" w:eastAsia="宋体" w:cs="Times New Roman"/>
                <w:sz w:val="28"/>
                <w:szCs w:val="28"/>
                <w:highlight w:val="none"/>
              </w:rPr>
            </w:pPr>
          </w:p>
        </w:tc>
      </w:tr>
    </w:tbl>
    <w:p>
      <w:pPr>
        <w:keepNext/>
        <w:keepLines/>
        <w:snapToGrid w:val="0"/>
        <w:spacing w:before="0" w:after="0" w:line="360" w:lineRule="auto"/>
        <w:jc w:val="center"/>
        <w:textAlignment w:val="baseline"/>
        <w:rPr>
          <w:rFonts w:ascii="Times New Roman" w:hAnsi="Times New Roman" w:eastAsia="宋体" w:cs="Times New Roman"/>
          <w:b/>
          <w:bCs/>
          <w:kern w:val="44"/>
          <w:sz w:val="36"/>
          <w:szCs w:val="36"/>
          <w:highlight w:val="none"/>
          <w:lang w:val="en-US" w:eastAsia="zh-CN" w:bidi="ar-SA"/>
        </w:rPr>
      </w:pPr>
    </w:p>
    <w:p>
      <w:pPr>
        <w:widowControl/>
        <w:spacing w:after="160" w:line="259" w:lineRule="auto"/>
        <w:ind w:firstLine="840" w:firstLineChars="300"/>
        <w:textAlignment w:val="baseline"/>
        <w:outlineLvl w:val="0"/>
        <w:rPr>
          <w:rFonts w:ascii="黑体" w:hAnsi="黑体" w:eastAsia="黑体" w:cs="Times New Roman"/>
          <w:kern w:val="2"/>
          <w:sz w:val="28"/>
          <w:szCs w:val="24"/>
          <w:highlight w:val="none"/>
        </w:rPr>
      </w:pPr>
      <w:bookmarkStart w:id="192" w:name="_Toc1597"/>
      <w:r>
        <w:rPr>
          <w:rFonts w:hint="eastAsia" w:ascii="Times New Roman" w:hAnsi="Times New Roman" w:eastAsia="宋体" w:cs="Times New Roman"/>
          <w:kern w:val="2"/>
          <w:sz w:val="28"/>
          <w:szCs w:val="24"/>
          <w:highlight w:val="none"/>
        </w:rPr>
        <w:t>合同密级：</w:t>
      </w:r>
      <w:r>
        <w:rPr>
          <w:rFonts w:hint="eastAsia" w:ascii="黑体" w:hAnsi="黑体" w:eastAsia="黑体" w:cs="Times New Roman"/>
          <w:kern w:val="2"/>
          <w:sz w:val="28"/>
          <w:szCs w:val="24"/>
          <w:highlight w:val="none"/>
        </w:rPr>
        <w:t>公开</w:t>
      </w:r>
    </w:p>
    <w:bookmarkEnd w:id="192"/>
    <w:p>
      <w:pPr>
        <w:widowControl/>
        <w:spacing w:after="160" w:line="259" w:lineRule="auto"/>
        <w:textAlignment w:val="baseline"/>
        <w:rPr>
          <w:rFonts w:ascii="Times New Roman" w:hAnsi="Times New Roman" w:eastAsia="宋体" w:cs="Times New Roman"/>
          <w:kern w:val="2"/>
          <w:sz w:val="28"/>
          <w:szCs w:val="24"/>
          <w:highlight w:val="none"/>
        </w:rPr>
      </w:pPr>
    </w:p>
    <w:p>
      <w:pPr>
        <w:widowControl/>
        <w:spacing w:after="160" w:line="259" w:lineRule="auto"/>
        <w:jc w:val="center"/>
        <w:textAlignment w:val="baseline"/>
        <w:rPr>
          <w:rFonts w:ascii="黑体" w:hAnsi="黑体" w:eastAsia="黑体" w:cs="Times New Roman"/>
          <w:kern w:val="2"/>
          <w:sz w:val="44"/>
          <w:szCs w:val="44"/>
          <w:highlight w:val="none"/>
        </w:rPr>
      </w:pPr>
    </w:p>
    <w:p>
      <w:pPr>
        <w:widowControl/>
        <w:spacing w:after="160" w:line="259" w:lineRule="auto"/>
        <w:jc w:val="center"/>
        <w:textAlignment w:val="baseline"/>
        <w:outlineLvl w:val="0"/>
        <w:rPr>
          <w:rFonts w:hint="eastAsia" w:ascii="黑体" w:hAnsi="黑体" w:eastAsia="黑体" w:cs="Times New Roman"/>
          <w:kern w:val="2"/>
          <w:sz w:val="44"/>
          <w:szCs w:val="44"/>
          <w:highlight w:val="none"/>
        </w:rPr>
      </w:pPr>
      <w:bookmarkStart w:id="193" w:name="_Toc5462"/>
      <w:r>
        <w:rPr>
          <w:rFonts w:hint="eastAsia" w:ascii="黑体" w:hAnsi="黑体" w:eastAsia="黑体" w:cs="Times New Roman"/>
          <w:kern w:val="2"/>
          <w:sz w:val="44"/>
          <w:szCs w:val="44"/>
          <w:highlight w:val="none"/>
        </w:rPr>
        <w:t>中国工程物理研究院应用电子学研究所</w:t>
      </w:r>
      <w:bookmarkEnd w:id="193"/>
    </w:p>
    <w:p>
      <w:pPr>
        <w:widowControl/>
        <w:spacing w:after="160" w:line="259" w:lineRule="auto"/>
        <w:jc w:val="center"/>
        <w:textAlignment w:val="baseline"/>
        <w:outlineLvl w:val="0"/>
        <w:rPr>
          <w:rFonts w:hint="eastAsia" w:ascii="黑体" w:hAnsi="黑体" w:eastAsia="黑体" w:cs="Times New Roman"/>
          <w:kern w:val="2"/>
          <w:sz w:val="48"/>
          <w:szCs w:val="48"/>
          <w:highlight w:val="none"/>
        </w:rPr>
      </w:pPr>
      <w:bookmarkStart w:id="194" w:name="_Toc12051"/>
      <w:r>
        <w:rPr>
          <w:rFonts w:hint="eastAsia" w:ascii="黑体" w:hAnsi="黑体" w:eastAsia="黑体" w:cs="Times New Roman"/>
          <w:kern w:val="2"/>
          <w:sz w:val="48"/>
          <w:szCs w:val="48"/>
          <w:highlight w:val="none"/>
        </w:rPr>
        <w:t>XXXX合同</w:t>
      </w:r>
      <w:bookmarkEnd w:id="194"/>
    </w:p>
    <w:p>
      <w:pPr>
        <w:widowControl/>
        <w:spacing w:after="0" w:line="240" w:lineRule="auto"/>
        <w:textAlignment w:val="baseline"/>
        <w:rPr>
          <w:rFonts w:ascii="Times New Roman" w:hAnsi="Times New Roman" w:eastAsia="宋体" w:cs="Times New Roman"/>
          <w:b/>
          <w:kern w:val="2"/>
          <w:sz w:val="48"/>
          <w:szCs w:val="20"/>
          <w:highlight w:val="none"/>
        </w:rPr>
      </w:pP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3"/>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Borders>
              <w:top w:val="nil"/>
              <w:left w:val="nil"/>
              <w:bottom w:val="nil"/>
              <w:right w:val="nil"/>
            </w:tcBorders>
            <w:noWrap w:val="0"/>
            <w:vAlign w:val="bottom"/>
          </w:tcPr>
          <w:p>
            <w:pPr>
              <w:widowControl/>
              <w:spacing w:after="160" w:line="960" w:lineRule="exact"/>
              <w:textAlignment w:val="baseline"/>
              <w:rPr>
                <w:rFonts w:ascii="Times New Roman" w:hAnsi="宋体" w:eastAsia="宋体" w:cs="Times New Roman"/>
                <w:b/>
                <w:kern w:val="2"/>
                <w:sz w:val="32"/>
                <w:szCs w:val="32"/>
                <w:highlight w:val="none"/>
              </w:rPr>
            </w:pPr>
            <w:r>
              <w:rPr>
                <w:rFonts w:hint="eastAsia" w:ascii="Times New Roman" w:hAnsi="宋体" w:eastAsia="宋体" w:cs="Times New Roman"/>
                <w:b/>
                <w:kern w:val="2"/>
                <w:sz w:val="32"/>
                <w:szCs w:val="32"/>
                <w:highlight w:val="none"/>
              </w:rPr>
              <w:t>合同名称：</w:t>
            </w:r>
          </w:p>
        </w:tc>
        <w:tc>
          <w:tcPr>
            <w:tcW w:w="5216" w:type="dxa"/>
            <w:tcBorders>
              <w:top w:val="nil"/>
              <w:left w:val="nil"/>
              <w:bottom w:val="single" w:color="auto" w:sz="4" w:space="0"/>
              <w:right w:val="nil"/>
            </w:tcBorders>
            <w:noWrap w:val="0"/>
            <w:vAlign w:val="bottom"/>
          </w:tcPr>
          <w:p>
            <w:pPr>
              <w:widowControl/>
              <w:spacing w:after="160" w:line="960" w:lineRule="exact"/>
              <w:jc w:val="center"/>
              <w:textAlignment w:val="baseline"/>
              <w:rPr>
                <w:rFonts w:hint="eastAsia" w:ascii="Times New Roman" w:hAnsi="宋体" w:eastAsia="宋体" w:cs="Times New Roman"/>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Borders>
              <w:top w:val="nil"/>
              <w:left w:val="nil"/>
              <w:bottom w:val="nil"/>
              <w:right w:val="nil"/>
            </w:tcBorders>
            <w:noWrap w:val="0"/>
            <w:vAlign w:val="bottom"/>
          </w:tcPr>
          <w:p>
            <w:pPr>
              <w:widowControl/>
              <w:spacing w:after="160" w:line="960" w:lineRule="exact"/>
              <w:textAlignment w:val="baseline"/>
              <w:rPr>
                <w:rFonts w:ascii="Times New Roman" w:hAnsi="宋体" w:eastAsia="宋体" w:cs="Times New Roman"/>
                <w:b/>
                <w:kern w:val="2"/>
                <w:sz w:val="32"/>
                <w:szCs w:val="32"/>
                <w:highlight w:val="none"/>
              </w:rPr>
            </w:pPr>
            <w:r>
              <w:rPr>
                <w:rFonts w:hint="eastAsia" w:ascii="Times New Roman" w:hAnsi="宋体" w:eastAsia="宋体" w:cs="Times New Roman"/>
                <w:b/>
                <w:kern w:val="2"/>
                <w:sz w:val="32"/>
                <w:szCs w:val="32"/>
                <w:highlight w:val="none"/>
              </w:rPr>
              <w:t>甲方单位：</w:t>
            </w:r>
          </w:p>
        </w:tc>
        <w:tc>
          <w:tcPr>
            <w:tcW w:w="5216" w:type="dxa"/>
            <w:tcBorders>
              <w:left w:val="nil"/>
              <w:right w:val="nil"/>
            </w:tcBorders>
            <w:noWrap w:val="0"/>
            <w:vAlign w:val="bottom"/>
          </w:tcPr>
          <w:p>
            <w:pPr>
              <w:widowControl/>
              <w:spacing w:after="160" w:line="960" w:lineRule="exact"/>
              <w:jc w:val="center"/>
              <w:textAlignment w:val="baseline"/>
              <w:rPr>
                <w:rFonts w:hint="eastAsia" w:ascii="Times New Roman" w:hAnsi="宋体" w:eastAsia="宋体" w:cs="Times New Roman"/>
                <w:b/>
                <w:kern w:val="2"/>
                <w:sz w:val="32"/>
                <w:szCs w:val="32"/>
                <w:highlight w:val="none"/>
              </w:rPr>
            </w:pPr>
            <w:r>
              <w:rPr>
                <w:rFonts w:hint="eastAsia" w:ascii="Times New Roman" w:hAnsi="Times New Roman" w:eastAsia="黑体" w:cs="Times New Roman"/>
                <w:bCs/>
                <w:kern w:val="2"/>
                <w:sz w:val="28"/>
                <w:szCs w:val="28"/>
                <w:highlight w:val="none"/>
              </w:rPr>
              <w:t>中国工程物理研究院应用电子学研究所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Borders>
              <w:top w:val="nil"/>
              <w:left w:val="nil"/>
              <w:bottom w:val="nil"/>
              <w:right w:val="nil"/>
            </w:tcBorders>
            <w:noWrap w:val="0"/>
            <w:vAlign w:val="bottom"/>
          </w:tcPr>
          <w:p>
            <w:pPr>
              <w:widowControl/>
              <w:spacing w:after="160" w:line="960" w:lineRule="exact"/>
              <w:textAlignment w:val="baseline"/>
              <w:rPr>
                <w:rFonts w:ascii="Times New Roman" w:hAnsi="宋体" w:eastAsia="宋体" w:cs="Times New Roman"/>
                <w:b/>
                <w:kern w:val="2"/>
                <w:sz w:val="32"/>
                <w:szCs w:val="32"/>
                <w:highlight w:val="none"/>
              </w:rPr>
            </w:pPr>
            <w:r>
              <w:rPr>
                <w:rFonts w:hint="eastAsia" w:ascii="Times New Roman" w:hAnsi="宋体" w:eastAsia="宋体" w:cs="Times New Roman"/>
                <w:b/>
                <w:kern w:val="2"/>
                <w:sz w:val="32"/>
                <w:szCs w:val="32"/>
                <w:highlight w:val="none"/>
              </w:rPr>
              <w:t>乙方单位：</w:t>
            </w:r>
          </w:p>
        </w:tc>
        <w:tc>
          <w:tcPr>
            <w:tcW w:w="5216" w:type="dxa"/>
            <w:tcBorders>
              <w:left w:val="nil"/>
              <w:right w:val="nil"/>
            </w:tcBorders>
            <w:noWrap w:val="0"/>
            <w:vAlign w:val="bottom"/>
          </w:tcPr>
          <w:p>
            <w:pPr>
              <w:widowControl/>
              <w:spacing w:after="160" w:line="960" w:lineRule="exact"/>
              <w:jc w:val="center"/>
              <w:textAlignment w:val="baseline"/>
              <w:rPr>
                <w:rFonts w:ascii="Times New Roman" w:hAnsi="宋体" w:eastAsia="宋体" w:cs="Times New Roman"/>
                <w:b/>
                <w:kern w:val="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Borders>
              <w:top w:val="nil"/>
              <w:left w:val="nil"/>
              <w:bottom w:val="nil"/>
              <w:right w:val="nil"/>
            </w:tcBorders>
            <w:noWrap w:val="0"/>
            <w:vAlign w:val="bottom"/>
          </w:tcPr>
          <w:p>
            <w:pPr>
              <w:widowControl/>
              <w:spacing w:after="160" w:line="960" w:lineRule="exact"/>
              <w:textAlignment w:val="baseline"/>
              <w:rPr>
                <w:rFonts w:ascii="Times New Roman" w:hAnsi="宋体" w:eastAsia="宋体" w:cs="Times New Roman"/>
                <w:b/>
                <w:kern w:val="2"/>
                <w:sz w:val="32"/>
                <w:szCs w:val="32"/>
                <w:highlight w:val="none"/>
              </w:rPr>
            </w:pPr>
            <w:r>
              <w:rPr>
                <w:rFonts w:hint="eastAsia" w:ascii="Times New Roman" w:hAnsi="宋体" w:eastAsia="宋体" w:cs="Times New Roman"/>
                <w:b/>
                <w:kern w:val="2"/>
                <w:sz w:val="32"/>
                <w:szCs w:val="32"/>
                <w:highlight w:val="none"/>
              </w:rPr>
              <w:t>签订地点：</w:t>
            </w:r>
          </w:p>
        </w:tc>
        <w:tc>
          <w:tcPr>
            <w:tcW w:w="5216" w:type="dxa"/>
            <w:tcBorders>
              <w:left w:val="nil"/>
              <w:right w:val="nil"/>
            </w:tcBorders>
            <w:noWrap w:val="0"/>
            <w:vAlign w:val="bottom"/>
          </w:tcPr>
          <w:p>
            <w:pPr>
              <w:widowControl/>
              <w:spacing w:after="160" w:line="960" w:lineRule="exact"/>
              <w:jc w:val="center"/>
              <w:textAlignment w:val="baseline"/>
              <w:rPr>
                <w:rFonts w:ascii="Times New Roman" w:hAnsi="宋体" w:eastAsia="宋体" w:cs="Times New Roman"/>
                <w:b/>
                <w:kern w:val="2"/>
                <w:sz w:val="32"/>
                <w:szCs w:val="32"/>
                <w:highlight w:val="none"/>
              </w:rPr>
            </w:pPr>
            <w:r>
              <w:rPr>
                <w:rFonts w:hint="eastAsia" w:ascii="Times New Roman" w:hAnsi="宋体" w:eastAsia="宋体" w:cs="Times New Roman"/>
                <w:b/>
                <w:kern w:val="2"/>
                <w:sz w:val="32"/>
                <w:szCs w:val="32"/>
                <w:highlight w:val="none"/>
              </w:rPr>
              <w:t>四川省绵阳市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3" w:type="dxa"/>
            <w:tcBorders>
              <w:top w:val="nil"/>
              <w:left w:val="nil"/>
              <w:bottom w:val="nil"/>
              <w:right w:val="nil"/>
            </w:tcBorders>
            <w:noWrap w:val="0"/>
            <w:vAlign w:val="bottom"/>
          </w:tcPr>
          <w:p>
            <w:pPr>
              <w:widowControl/>
              <w:spacing w:after="160" w:line="960" w:lineRule="exact"/>
              <w:textAlignment w:val="baseline"/>
              <w:rPr>
                <w:rFonts w:ascii="Times New Roman" w:hAnsi="宋体" w:eastAsia="宋体" w:cs="Times New Roman"/>
                <w:b/>
                <w:kern w:val="2"/>
                <w:sz w:val="32"/>
                <w:szCs w:val="32"/>
                <w:highlight w:val="none"/>
              </w:rPr>
            </w:pPr>
            <w:r>
              <w:rPr>
                <w:rFonts w:hint="eastAsia" w:ascii="Times New Roman" w:hAnsi="宋体" w:eastAsia="宋体" w:cs="Times New Roman"/>
                <w:b/>
                <w:kern w:val="2"/>
                <w:sz w:val="32"/>
                <w:szCs w:val="32"/>
                <w:highlight w:val="none"/>
              </w:rPr>
              <w:t>生效日期：</w:t>
            </w:r>
          </w:p>
        </w:tc>
        <w:tc>
          <w:tcPr>
            <w:tcW w:w="5216" w:type="dxa"/>
            <w:tcBorders>
              <w:left w:val="nil"/>
              <w:right w:val="nil"/>
            </w:tcBorders>
            <w:noWrap w:val="0"/>
            <w:vAlign w:val="bottom"/>
          </w:tcPr>
          <w:p>
            <w:pPr>
              <w:widowControl/>
              <w:spacing w:after="160" w:line="960" w:lineRule="exact"/>
              <w:jc w:val="center"/>
              <w:textAlignment w:val="baseline"/>
              <w:rPr>
                <w:rFonts w:ascii="Times New Roman" w:hAnsi="宋体" w:eastAsia="宋体" w:cs="Times New Roman"/>
                <w:b/>
                <w:kern w:val="2"/>
                <w:sz w:val="32"/>
                <w:szCs w:val="32"/>
                <w:highlight w:val="none"/>
              </w:rPr>
            </w:pPr>
            <w:r>
              <w:rPr>
                <w:rFonts w:hint="eastAsia" w:ascii="Times New Roman" w:hAnsi="宋体" w:eastAsia="宋体" w:cs="Times New Roman"/>
                <w:b/>
                <w:kern w:val="2"/>
                <w:sz w:val="32"/>
                <w:szCs w:val="32"/>
                <w:highlight w:val="none"/>
              </w:rPr>
              <w:t>　　年　　月</w:t>
            </w:r>
          </w:p>
        </w:tc>
      </w:tr>
    </w:tbl>
    <w:p>
      <w:pPr>
        <w:widowControl/>
        <w:spacing w:after="160" w:line="259" w:lineRule="auto"/>
        <w:textAlignment w:val="baseline"/>
        <w:rPr>
          <w:rFonts w:ascii="Times New Roman" w:hAnsi="Times New Roman" w:eastAsia="宋体" w:cs="Times New Roman"/>
          <w:b/>
          <w:kern w:val="2"/>
          <w:sz w:val="32"/>
          <w:szCs w:val="32"/>
          <w:highlight w:val="none"/>
        </w:rPr>
      </w:pPr>
    </w:p>
    <w:p>
      <w:pPr>
        <w:widowControl/>
        <w:spacing w:after="160" w:line="259" w:lineRule="auto"/>
        <w:jc w:val="center"/>
        <w:textAlignment w:val="baseline"/>
        <w:rPr>
          <w:rFonts w:ascii="Times New Roman" w:hAnsi="Times New Roman" w:eastAsia="宋体" w:cs="Times New Roman"/>
          <w:b/>
          <w:kern w:val="2"/>
          <w:sz w:val="32"/>
          <w:szCs w:val="32"/>
          <w:highlight w:val="none"/>
        </w:rPr>
      </w:pPr>
      <w:r>
        <w:rPr>
          <w:rFonts w:hint="eastAsia" w:ascii="Times New Roman" w:hAnsi="Times New Roman" w:eastAsia="宋体" w:cs="Times New Roman"/>
          <w:b/>
          <w:kern w:val="2"/>
          <w:sz w:val="32"/>
          <w:szCs w:val="32"/>
          <w:highlight w:val="none"/>
        </w:rPr>
        <w:t>中国工程物理研究院应用电子学研究所</w:t>
      </w:r>
    </w:p>
    <w:p>
      <w:pPr>
        <w:widowControl/>
        <w:spacing w:after="160" w:line="259" w:lineRule="auto"/>
        <w:jc w:val="left"/>
        <w:textAlignment w:val="baseline"/>
        <w:rPr>
          <w:rFonts w:ascii="Times New Roman" w:hAnsi="Times New Roman" w:eastAsia="宋体" w:cs="Times New Roman"/>
          <w:b/>
          <w:kern w:val="2"/>
          <w:sz w:val="32"/>
          <w:szCs w:val="32"/>
          <w:highlight w:val="none"/>
        </w:rPr>
      </w:pPr>
      <w:r>
        <w:rPr>
          <w:rFonts w:ascii="Times New Roman" w:hAnsi="Times New Roman" w:eastAsia="宋体" w:cs="Times New Roman"/>
          <w:b/>
          <w:kern w:val="2"/>
          <w:sz w:val="36"/>
          <w:szCs w:val="36"/>
          <w:highlight w:val="none"/>
        </w:rPr>
        <w:br w:type="page"/>
      </w:r>
      <w:r>
        <w:rPr>
          <w:rFonts w:hint="eastAsia" w:ascii="Times New Roman" w:hAnsi="Times New Roman" w:eastAsia="宋体" w:cs="Times New Roman"/>
          <w:b/>
          <w:kern w:val="2"/>
          <w:sz w:val="32"/>
          <w:szCs w:val="32"/>
          <w:highlight w:val="none"/>
        </w:rPr>
        <w:t>填写说明</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1" w:hRule="atLeast"/>
        </w:trPr>
        <w:tc>
          <w:tcPr>
            <w:tcW w:w="8522" w:type="dxa"/>
            <w:noWrap w:val="0"/>
            <w:vAlign w:val="top"/>
          </w:tcPr>
          <w:p>
            <w:pPr>
              <w:widowControl/>
              <w:spacing w:after="160" w:line="259" w:lineRule="auto"/>
              <w:textAlignment w:val="baseline"/>
              <w:rPr>
                <w:rFonts w:ascii="仿宋_GB2312" w:hAnsi="Times New Roman" w:eastAsia="仿宋_GB2312" w:cs="Times New Roman"/>
                <w:kern w:val="2"/>
                <w:sz w:val="28"/>
                <w:szCs w:val="28"/>
                <w:highlight w:val="none"/>
              </w:rPr>
            </w:pPr>
            <w:r>
              <w:rPr>
                <w:rFonts w:hint="eastAsia" w:ascii="仿宋_GB2312" w:hAnsi="Times New Roman" w:eastAsia="仿宋_GB2312" w:cs="Times New Roman"/>
                <w:kern w:val="2"/>
                <w:sz w:val="28"/>
                <w:szCs w:val="28"/>
                <w:highlight w:val="none"/>
              </w:rPr>
              <w:t>一、本合同书是根据《中国工程物理研究院采购管理规定》（院财务〔2019〕146）相关要求编制的示范文本，作为我所各单位对外签订非标准物资（服务）采购合同的建议格式文本使用。</w:t>
            </w:r>
          </w:p>
          <w:p>
            <w:pPr>
              <w:widowControl/>
              <w:spacing w:after="160" w:line="259" w:lineRule="auto"/>
              <w:textAlignment w:val="baseline"/>
              <w:rPr>
                <w:rFonts w:ascii="仿宋_GB2312" w:hAnsi="Times New Roman" w:eastAsia="仿宋_GB2312" w:cs="Times New Roman"/>
                <w:kern w:val="2"/>
                <w:sz w:val="28"/>
                <w:szCs w:val="28"/>
                <w:highlight w:val="none"/>
              </w:rPr>
            </w:pPr>
            <w:r>
              <w:rPr>
                <w:rFonts w:hint="eastAsia" w:ascii="仿宋_GB2312" w:hAnsi="Times New Roman" w:eastAsia="仿宋_GB2312" w:cs="Times New Roman"/>
                <w:kern w:val="2"/>
                <w:sz w:val="28"/>
                <w:szCs w:val="28"/>
                <w:highlight w:val="none"/>
              </w:rPr>
              <w:t>二、对于合同有关条款，签约双方需约定更多内容，可以附件形式补充。</w:t>
            </w:r>
          </w:p>
          <w:p>
            <w:pPr>
              <w:widowControl/>
              <w:spacing w:after="160" w:line="259" w:lineRule="auto"/>
              <w:textAlignment w:val="baseline"/>
              <w:rPr>
                <w:rFonts w:ascii="仿宋_GB2312" w:hAnsi="Times New Roman" w:eastAsia="仿宋_GB2312" w:cs="Times New Roman"/>
                <w:kern w:val="2"/>
                <w:sz w:val="28"/>
                <w:szCs w:val="28"/>
                <w:highlight w:val="none"/>
              </w:rPr>
            </w:pPr>
            <w:r>
              <w:rPr>
                <w:rFonts w:hint="eastAsia" w:ascii="仿宋_GB2312" w:hAnsi="Times New Roman" w:eastAsia="仿宋_GB2312" w:cs="Times New Roman"/>
                <w:kern w:val="2"/>
                <w:sz w:val="28"/>
                <w:szCs w:val="28"/>
                <w:highlight w:val="none"/>
              </w:rPr>
              <w:t>三、本合同所列的各条款必须详细填写，某些栏目没有相关内容时请保留空白、不得删除。</w:t>
            </w:r>
          </w:p>
          <w:p>
            <w:pPr>
              <w:widowControl/>
              <w:spacing w:after="160" w:line="259" w:lineRule="auto"/>
              <w:textAlignment w:val="baseline"/>
              <w:rPr>
                <w:rFonts w:ascii="仿宋_GB2312" w:hAnsi="Times New Roman" w:eastAsia="仿宋_GB2312" w:cs="Times New Roman"/>
                <w:kern w:val="2"/>
                <w:sz w:val="28"/>
                <w:szCs w:val="28"/>
                <w:highlight w:val="none"/>
              </w:rPr>
            </w:pPr>
            <w:r>
              <w:rPr>
                <w:rFonts w:hint="eastAsia" w:ascii="仿宋_GB2312" w:hAnsi="Times New Roman" w:eastAsia="仿宋_GB2312" w:cs="Times New Roman"/>
                <w:kern w:val="2"/>
                <w:sz w:val="28"/>
                <w:szCs w:val="28"/>
                <w:highlight w:val="none"/>
              </w:rPr>
              <w:t>四、甲方为采购需求方，乙方为非标物资（服务）提供方。</w:t>
            </w:r>
          </w:p>
          <w:p>
            <w:pPr>
              <w:widowControl/>
              <w:spacing w:after="160" w:line="259" w:lineRule="auto"/>
              <w:textAlignment w:val="baseline"/>
              <w:rPr>
                <w:rFonts w:ascii="仿宋_GB2312" w:hAnsi="Times New Roman" w:eastAsia="仿宋_GB2312" w:cs="Times New Roman"/>
                <w:kern w:val="2"/>
                <w:sz w:val="28"/>
                <w:szCs w:val="28"/>
                <w:highlight w:val="none"/>
              </w:rPr>
            </w:pPr>
            <w:r>
              <w:rPr>
                <w:rFonts w:hint="eastAsia" w:ascii="仿宋_GB2312" w:hAnsi="Times New Roman" w:eastAsia="仿宋_GB2312" w:cs="Times New Roman"/>
                <w:kern w:val="2"/>
                <w:sz w:val="28"/>
                <w:szCs w:val="28"/>
                <w:highlight w:val="none"/>
              </w:rPr>
              <w:t>五、本合同在双方正式签署盖章后生效；或者在双方正式签署盖章前，乙方已经履行了主要义务且甲方接受时，合同生效；有效期至质保期结束为止。</w:t>
            </w:r>
          </w:p>
          <w:p>
            <w:pPr>
              <w:widowControl/>
              <w:spacing w:after="160" w:line="259" w:lineRule="auto"/>
              <w:textAlignment w:val="baseline"/>
              <w:rPr>
                <w:rFonts w:ascii="仿宋_GB2312" w:hAnsi="Times New Roman" w:eastAsia="仿宋_GB2312" w:cs="Times New Roman"/>
                <w:kern w:val="2"/>
                <w:sz w:val="28"/>
                <w:szCs w:val="28"/>
                <w:highlight w:val="none"/>
              </w:rPr>
            </w:pPr>
            <w:r>
              <w:rPr>
                <w:rFonts w:hint="eastAsia" w:ascii="仿宋_GB2312" w:hAnsi="Times New Roman" w:eastAsia="仿宋_GB2312" w:cs="Times New Roman"/>
                <w:kern w:val="2"/>
                <w:sz w:val="28"/>
                <w:szCs w:val="28"/>
                <w:highlight w:val="none"/>
              </w:rPr>
              <w:t>六、对于勾选项，勾选时必须使用实心正方形符号“■”代替原来的空心正方形符号“□”。“■”代表本项已被选择，“□”代表本项未被选择，手工填写或涂改无效。</w:t>
            </w:r>
          </w:p>
          <w:p>
            <w:pPr>
              <w:widowControl/>
              <w:spacing w:after="160" w:line="259" w:lineRule="auto"/>
              <w:textAlignment w:val="baseline"/>
              <w:rPr>
                <w:rFonts w:ascii="仿宋_GB2312" w:hAnsi="Times New Roman" w:eastAsia="仿宋_GB2312" w:cs="Times New Roman"/>
                <w:kern w:val="2"/>
                <w:sz w:val="28"/>
                <w:szCs w:val="28"/>
                <w:highlight w:val="none"/>
              </w:rPr>
            </w:pPr>
            <w:r>
              <w:rPr>
                <w:rFonts w:hint="eastAsia" w:ascii="仿宋_GB2312" w:hAnsi="Times New Roman" w:eastAsia="仿宋_GB2312" w:cs="Times New Roman"/>
                <w:kern w:val="2"/>
                <w:sz w:val="28"/>
                <w:szCs w:val="28"/>
                <w:highlight w:val="none"/>
              </w:rPr>
              <w:t>七、本合同</w:t>
            </w:r>
            <w:r>
              <w:rPr>
                <w:rFonts w:hint="eastAsia" w:ascii="仿宋_GB2312" w:hAnsi="Times New Roman" w:eastAsia="仿宋_GB2312" w:cs="Times New Roman"/>
                <w:b/>
                <w:kern w:val="2"/>
                <w:sz w:val="28"/>
                <w:szCs w:val="28"/>
                <w:highlight w:val="none"/>
                <w:u w:val="single"/>
              </w:rPr>
              <w:t>必须双面打印</w:t>
            </w:r>
            <w:r>
              <w:rPr>
                <w:rFonts w:hint="eastAsia" w:ascii="仿宋_GB2312" w:hAnsi="Times New Roman" w:eastAsia="仿宋_GB2312" w:cs="Times New Roman"/>
                <w:kern w:val="2"/>
                <w:sz w:val="28"/>
                <w:szCs w:val="28"/>
                <w:highlight w:val="none"/>
              </w:rPr>
              <w:t>。</w:t>
            </w:r>
          </w:p>
        </w:tc>
      </w:tr>
    </w:tbl>
    <w:p>
      <w:pPr>
        <w:widowControl/>
        <w:spacing w:after="160" w:line="259" w:lineRule="auto"/>
        <w:textAlignment w:val="baseline"/>
        <w:rPr>
          <w:rFonts w:ascii="Times New Roman" w:hAnsi="Times New Roman" w:eastAsia="宋体" w:cs="Times New Roman"/>
          <w:kern w:val="2"/>
          <w:sz w:val="21"/>
          <w:szCs w:val="24"/>
          <w:highlight w:val="none"/>
        </w:rPr>
      </w:pPr>
    </w:p>
    <w:tbl>
      <w:tblPr>
        <w:tblStyle w:val="46"/>
        <w:tblW w:w="8505" w:type="dxa"/>
        <w:tblInd w:w="250"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593"/>
        <w:gridCol w:w="1680"/>
        <w:gridCol w:w="1554"/>
        <w:gridCol w:w="1087"/>
        <w:gridCol w:w="325"/>
        <w:gridCol w:w="1234"/>
        <w:gridCol w:w="131"/>
        <w:gridCol w:w="578"/>
        <w:gridCol w:w="1323"/>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955" w:hRule="atLeast"/>
        </w:trPr>
        <w:tc>
          <w:tcPr>
            <w:tcW w:w="593" w:type="dxa"/>
            <w:vMerge w:val="restart"/>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委</w:t>
            </w:r>
          </w:p>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托</w:t>
            </w:r>
          </w:p>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方</w:t>
            </w:r>
          </w:p>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w:t>
            </w:r>
          </w:p>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甲方︶</w:t>
            </w: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单位名称</w:t>
            </w:r>
          </w:p>
        </w:tc>
        <w:tc>
          <w:tcPr>
            <w:tcW w:w="6232" w:type="dxa"/>
            <w:gridSpan w:val="7"/>
            <w:noWrap w:val="0"/>
            <w:vAlign w:val="top"/>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中国工程物理研究院应用电子学研究所</w:t>
            </w:r>
          </w:p>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（合同专用章）</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法定代表人</w:t>
            </w:r>
          </w:p>
        </w:tc>
        <w:tc>
          <w:tcPr>
            <w:tcW w:w="6232" w:type="dxa"/>
            <w:gridSpan w:val="7"/>
            <w:noWrap w:val="0"/>
            <w:vAlign w:val="center"/>
          </w:tcPr>
          <w:p>
            <w:pPr>
              <w:widowControl/>
              <w:spacing w:before="120" w:after="160" w:line="259" w:lineRule="auto"/>
              <w:ind w:right="420" w:firstLine="1995" w:firstLineChars="950"/>
              <w:jc w:val="right"/>
              <w:textAlignment w:val="baseline"/>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（签字）           年    月    日</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委托代理人</w:t>
            </w:r>
          </w:p>
        </w:tc>
        <w:tc>
          <w:tcPr>
            <w:tcW w:w="6232" w:type="dxa"/>
            <w:gridSpan w:val="7"/>
            <w:noWrap w:val="0"/>
            <w:vAlign w:val="center"/>
          </w:tcPr>
          <w:p>
            <w:pPr>
              <w:widowControl/>
              <w:spacing w:before="120" w:after="160" w:line="259" w:lineRule="auto"/>
              <w:ind w:right="420" w:firstLine="1995" w:firstLineChars="950"/>
              <w:jc w:val="right"/>
              <w:textAlignment w:val="baseline"/>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（签字）           年    月    日</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通讯地址</w:t>
            </w:r>
          </w:p>
        </w:tc>
        <w:tc>
          <w:tcPr>
            <w:tcW w:w="6232" w:type="dxa"/>
            <w:gridSpan w:val="7"/>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四川省绵阳市游仙区绵山路64号</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传    真</w:t>
            </w:r>
          </w:p>
        </w:tc>
        <w:tc>
          <w:tcPr>
            <w:tcW w:w="1554"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1"/>
                <w:szCs w:val="21"/>
                <w:highlight w:val="none"/>
              </w:rPr>
            </w:pPr>
          </w:p>
        </w:tc>
        <w:tc>
          <w:tcPr>
            <w:tcW w:w="1087"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联系人</w:t>
            </w:r>
          </w:p>
        </w:tc>
        <w:tc>
          <w:tcPr>
            <w:tcW w:w="1559" w:type="dxa"/>
            <w:gridSpan w:val="2"/>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p>
        </w:tc>
        <w:tc>
          <w:tcPr>
            <w:tcW w:w="709" w:type="dxa"/>
            <w:gridSpan w:val="2"/>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电话</w:t>
            </w:r>
          </w:p>
        </w:tc>
        <w:tc>
          <w:tcPr>
            <w:tcW w:w="1323"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税    号</w:t>
            </w:r>
          </w:p>
        </w:tc>
        <w:tc>
          <w:tcPr>
            <w:tcW w:w="6232" w:type="dxa"/>
            <w:gridSpan w:val="7"/>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12100000400008730H</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开 户 银 行</w:t>
            </w:r>
          </w:p>
        </w:tc>
        <w:tc>
          <w:tcPr>
            <w:tcW w:w="6232" w:type="dxa"/>
            <w:gridSpan w:val="7"/>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中国工商银行绵阳市科学城支行</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帐      号</w:t>
            </w:r>
          </w:p>
        </w:tc>
        <w:tc>
          <w:tcPr>
            <w:tcW w:w="2966" w:type="dxa"/>
            <w:gridSpan w:val="3"/>
            <w:noWrap w:val="0"/>
            <w:vAlign w:val="center"/>
          </w:tcPr>
          <w:p>
            <w:pPr>
              <w:widowControl/>
              <w:spacing w:before="120" w:after="160" w:line="259" w:lineRule="auto"/>
              <w:jc w:val="center"/>
              <w:textAlignment w:val="baseline"/>
              <w:rPr>
                <w:rFonts w:ascii="Times New Roman" w:hAnsi="宋体" w:eastAsia="宋体" w:cs="宋体"/>
                <w:kern w:val="2"/>
                <w:sz w:val="24"/>
                <w:szCs w:val="24"/>
                <w:highlight w:val="none"/>
              </w:rPr>
            </w:pPr>
            <w:r>
              <w:rPr>
                <w:rFonts w:hint="eastAsia" w:ascii="Times New Roman" w:hAnsi="Times New Roman" w:eastAsia="宋体" w:cs="Times New Roman"/>
                <w:kern w:val="2"/>
                <w:sz w:val="24"/>
                <w:szCs w:val="24"/>
                <w:highlight w:val="none"/>
              </w:rPr>
              <w:t>2308415109022108228</w:t>
            </w:r>
          </w:p>
        </w:tc>
        <w:tc>
          <w:tcPr>
            <w:tcW w:w="1365" w:type="dxa"/>
            <w:gridSpan w:val="2"/>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邮政编码</w:t>
            </w:r>
          </w:p>
        </w:tc>
        <w:tc>
          <w:tcPr>
            <w:tcW w:w="1901" w:type="dxa"/>
            <w:gridSpan w:val="2"/>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宋体" w:eastAsia="宋体" w:cs="宋体"/>
                <w:kern w:val="2"/>
                <w:sz w:val="24"/>
                <w:szCs w:val="24"/>
                <w:highlight w:val="none"/>
              </w:rPr>
              <w:t>621900</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955" w:hRule="atLeast"/>
        </w:trPr>
        <w:tc>
          <w:tcPr>
            <w:tcW w:w="593" w:type="dxa"/>
            <w:vMerge w:val="restart"/>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受</w:t>
            </w:r>
          </w:p>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托</w:t>
            </w:r>
          </w:p>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方</w:t>
            </w:r>
          </w:p>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w:t>
            </w:r>
          </w:p>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乙方︶</w:t>
            </w: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单位名称</w:t>
            </w:r>
          </w:p>
        </w:tc>
        <w:tc>
          <w:tcPr>
            <w:tcW w:w="6232" w:type="dxa"/>
            <w:gridSpan w:val="7"/>
            <w:noWrap w:val="0"/>
            <w:vAlign w:val="top"/>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p>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（单位盖章）</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法定代表人</w:t>
            </w:r>
          </w:p>
        </w:tc>
        <w:tc>
          <w:tcPr>
            <w:tcW w:w="6232" w:type="dxa"/>
            <w:gridSpan w:val="7"/>
            <w:noWrap w:val="0"/>
            <w:vAlign w:val="center"/>
          </w:tcPr>
          <w:p>
            <w:pPr>
              <w:widowControl/>
              <w:spacing w:before="120" w:after="160" w:line="259" w:lineRule="auto"/>
              <w:ind w:right="420" w:firstLine="1995" w:firstLineChars="950"/>
              <w:jc w:val="right"/>
              <w:textAlignment w:val="baseline"/>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（签字）           年    月    日</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委托代理人</w:t>
            </w:r>
          </w:p>
        </w:tc>
        <w:tc>
          <w:tcPr>
            <w:tcW w:w="6232" w:type="dxa"/>
            <w:gridSpan w:val="7"/>
            <w:noWrap w:val="0"/>
            <w:vAlign w:val="center"/>
          </w:tcPr>
          <w:p>
            <w:pPr>
              <w:widowControl/>
              <w:spacing w:before="120" w:after="160" w:line="259" w:lineRule="auto"/>
              <w:ind w:right="420" w:firstLine="1995" w:firstLineChars="950"/>
              <w:jc w:val="right"/>
              <w:textAlignment w:val="baseline"/>
              <w:rPr>
                <w:rFonts w:ascii="Times New Roman" w:hAnsi="Times New Roman" w:eastAsia="宋体" w:cs="Times New Roman"/>
                <w:kern w:val="2"/>
                <w:sz w:val="21"/>
                <w:szCs w:val="21"/>
                <w:highlight w:val="none"/>
              </w:rPr>
            </w:pPr>
            <w:r>
              <w:rPr>
                <w:rFonts w:hint="eastAsia" w:ascii="Times New Roman" w:hAnsi="Times New Roman" w:eastAsia="宋体" w:cs="Times New Roman"/>
                <w:kern w:val="2"/>
                <w:sz w:val="21"/>
                <w:szCs w:val="21"/>
                <w:highlight w:val="none"/>
              </w:rPr>
              <w:t>（签字）           年    月    日</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通讯地址</w:t>
            </w:r>
          </w:p>
        </w:tc>
        <w:tc>
          <w:tcPr>
            <w:tcW w:w="6232" w:type="dxa"/>
            <w:gridSpan w:val="7"/>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传    真</w:t>
            </w:r>
          </w:p>
        </w:tc>
        <w:tc>
          <w:tcPr>
            <w:tcW w:w="1554"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p>
        </w:tc>
        <w:tc>
          <w:tcPr>
            <w:tcW w:w="1087"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联系人</w:t>
            </w:r>
          </w:p>
        </w:tc>
        <w:tc>
          <w:tcPr>
            <w:tcW w:w="1559" w:type="dxa"/>
            <w:gridSpan w:val="2"/>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p>
        </w:tc>
        <w:tc>
          <w:tcPr>
            <w:tcW w:w="709" w:type="dxa"/>
            <w:gridSpan w:val="2"/>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电话</w:t>
            </w:r>
          </w:p>
        </w:tc>
        <w:tc>
          <w:tcPr>
            <w:tcW w:w="1323"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税    号</w:t>
            </w:r>
          </w:p>
        </w:tc>
        <w:tc>
          <w:tcPr>
            <w:tcW w:w="6232" w:type="dxa"/>
            <w:gridSpan w:val="7"/>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开 户 银 行</w:t>
            </w:r>
          </w:p>
        </w:tc>
        <w:tc>
          <w:tcPr>
            <w:tcW w:w="6232" w:type="dxa"/>
            <w:gridSpan w:val="7"/>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cantSplit/>
          <w:trHeight w:val="680" w:hRule="atLeast"/>
        </w:trPr>
        <w:tc>
          <w:tcPr>
            <w:tcW w:w="593" w:type="dxa"/>
            <w:vMerge w:val="continue"/>
            <w:noWrap w:val="0"/>
            <w:vAlign w:val="top"/>
          </w:tcPr>
          <w:p>
            <w:pPr>
              <w:widowControl/>
              <w:spacing w:before="120" w:after="160" w:line="259" w:lineRule="auto"/>
              <w:textAlignment w:val="baseline"/>
              <w:rPr>
                <w:rFonts w:ascii="Times New Roman" w:hAnsi="Times New Roman" w:eastAsia="宋体" w:cs="Times New Roman"/>
                <w:kern w:val="2"/>
                <w:sz w:val="24"/>
                <w:szCs w:val="24"/>
                <w:highlight w:val="none"/>
              </w:rPr>
            </w:pPr>
          </w:p>
        </w:tc>
        <w:tc>
          <w:tcPr>
            <w:tcW w:w="1680" w:type="dxa"/>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帐      号</w:t>
            </w:r>
          </w:p>
        </w:tc>
        <w:tc>
          <w:tcPr>
            <w:tcW w:w="2966" w:type="dxa"/>
            <w:gridSpan w:val="3"/>
            <w:noWrap w:val="0"/>
            <w:vAlign w:val="top"/>
          </w:tcPr>
          <w:p>
            <w:pPr>
              <w:widowControl/>
              <w:spacing w:before="120" w:after="160" w:line="259" w:lineRule="auto"/>
              <w:textAlignment w:val="baseline"/>
              <w:rPr>
                <w:rFonts w:ascii="Times New Roman" w:hAnsi="宋体" w:eastAsia="宋体" w:cs="宋体"/>
                <w:kern w:val="2"/>
                <w:sz w:val="24"/>
                <w:szCs w:val="24"/>
                <w:highlight w:val="none"/>
              </w:rPr>
            </w:pPr>
          </w:p>
        </w:tc>
        <w:tc>
          <w:tcPr>
            <w:tcW w:w="1365" w:type="dxa"/>
            <w:gridSpan w:val="2"/>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r>
              <w:rPr>
                <w:rFonts w:hint="eastAsia" w:ascii="Times New Roman" w:hAnsi="Times New Roman" w:eastAsia="宋体" w:cs="Times New Roman"/>
                <w:kern w:val="2"/>
                <w:sz w:val="24"/>
                <w:szCs w:val="24"/>
                <w:highlight w:val="none"/>
              </w:rPr>
              <w:t>邮政编码</w:t>
            </w:r>
          </w:p>
        </w:tc>
        <w:tc>
          <w:tcPr>
            <w:tcW w:w="1901" w:type="dxa"/>
            <w:gridSpan w:val="2"/>
            <w:noWrap w:val="0"/>
            <w:vAlign w:val="center"/>
          </w:tcPr>
          <w:p>
            <w:pPr>
              <w:widowControl/>
              <w:spacing w:before="120" w:after="160" w:line="259" w:lineRule="auto"/>
              <w:jc w:val="center"/>
              <w:textAlignment w:val="baseline"/>
              <w:rPr>
                <w:rFonts w:ascii="Times New Roman" w:hAnsi="Times New Roman" w:eastAsia="宋体" w:cs="Times New Roman"/>
                <w:kern w:val="2"/>
                <w:sz w:val="24"/>
                <w:szCs w:val="24"/>
                <w:highlight w:val="none"/>
              </w:rPr>
            </w:pPr>
          </w:p>
        </w:tc>
      </w:tr>
    </w:tbl>
    <w:p>
      <w:pPr>
        <w:widowControl/>
        <w:spacing w:after="160" w:line="259" w:lineRule="auto"/>
        <w:textAlignment w:val="baseline"/>
        <w:outlineLvl w:val="0"/>
        <w:rPr>
          <w:rFonts w:ascii="Times New Roman" w:hAnsi="Times New Roman" w:eastAsia="宋体" w:cs="Times New Roman"/>
          <w:kern w:val="2"/>
          <w:sz w:val="21"/>
          <w:szCs w:val="24"/>
          <w:highlight w:val="none"/>
        </w:rPr>
      </w:pPr>
      <w:bookmarkStart w:id="195" w:name="_Toc28619"/>
      <w:r>
        <w:rPr>
          <w:rFonts w:hint="eastAsia" w:ascii="仿宋_GB2312" w:hAnsi="Times New Roman" w:eastAsia="仿宋_GB2312" w:cs="Times New Roman"/>
          <w:b/>
          <w:kern w:val="2"/>
          <w:sz w:val="28"/>
          <w:szCs w:val="28"/>
          <w:highlight w:val="none"/>
          <w:u w:val="single"/>
        </w:rPr>
        <w:t>（除了个别供应商可能没有“传真号”外，其他乙方信息必须填写完整。打印前删除！）</w:t>
      </w:r>
      <w:bookmarkEnd w:id="195"/>
    </w:p>
    <w:p>
      <w:pPr>
        <w:widowControl/>
        <w:spacing w:after="160" w:line="259" w:lineRule="auto"/>
        <w:jc w:val="left"/>
        <w:textAlignment w:val="baseline"/>
        <w:rPr>
          <w:rFonts w:ascii="Times New Roman" w:hAnsi="Times New Roman" w:eastAsia="宋体" w:cs="Times New Roman"/>
          <w:kern w:val="2"/>
          <w:sz w:val="21"/>
          <w:szCs w:val="24"/>
          <w:highlight w:val="none"/>
        </w:rPr>
      </w:pPr>
      <w:r>
        <w:rPr>
          <w:rFonts w:ascii="Times New Roman" w:hAnsi="Times New Roman" w:eastAsia="宋体" w:cs="Times New Roman"/>
          <w:kern w:val="2"/>
          <w:sz w:val="21"/>
          <w:szCs w:val="24"/>
          <w:highlight w:val="none"/>
        </w:rPr>
        <w:br w:type="page"/>
      </w:r>
    </w:p>
    <w:tbl>
      <w:tblPr>
        <w:tblStyle w:val="46"/>
        <w:tblW w:w="89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一、合同标的</w:t>
            </w:r>
          </w:p>
          <w:p>
            <w:pPr>
              <w:widowControl/>
              <w:spacing w:after="160" w:line="259" w:lineRule="auto"/>
              <w:textAlignment w:val="baseline"/>
              <w:rPr>
                <w:rFonts w:ascii="Times New Roman" w:hAnsi="Times New Roman" w:eastAsia="宋体" w:cs="Times New Roman"/>
                <w:kern w:val="2"/>
                <w:sz w:val="21"/>
                <w:szCs w:val="24"/>
                <w:highlight w:val="none"/>
              </w:rPr>
            </w:pPr>
            <w:r>
              <w:rPr>
                <w:rFonts w:hint="eastAsia" w:ascii="仿宋_GB2312" w:hAnsi="Times New Roman" w:eastAsia="仿宋_GB2312" w:cs="Times New Roman"/>
                <w:b/>
                <w:kern w:val="2"/>
                <w:sz w:val="24"/>
                <w:szCs w:val="24"/>
                <w:highlight w:val="none"/>
              </w:rPr>
              <w:t>本合同的主要内容为（以</w:t>
            </w:r>
            <w:r>
              <w:rPr>
                <w:rFonts w:hint="eastAsia" w:ascii="仿宋_GB2312" w:hAnsi="Times New Roman" w:eastAsia="仿宋_GB2312" w:cs="Times New Roman"/>
                <w:b/>
                <w:kern w:val="2"/>
                <w:sz w:val="24"/>
                <w:szCs w:val="24"/>
                <w:highlight w:val="none"/>
                <w:lang w:eastAsia="zh-CN"/>
              </w:rPr>
              <w:t>供应商</w:t>
            </w:r>
            <w:r>
              <w:rPr>
                <w:rFonts w:hint="eastAsia" w:ascii="仿宋_GB2312" w:hAnsi="Times New Roman" w:eastAsia="仿宋_GB2312" w:cs="Times New Roman"/>
                <w:b/>
                <w:kern w:val="2"/>
                <w:sz w:val="24"/>
                <w:szCs w:val="24"/>
                <w:highlight w:val="none"/>
              </w:rPr>
              <w:t>响应为准）：</w:t>
            </w:r>
          </w:p>
          <w:tbl>
            <w:tblPr>
              <w:tblStyle w:val="46"/>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759"/>
              <w:gridCol w:w="2655"/>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5" w:type="dxa"/>
                  <w:noWrap w:val="0"/>
                  <w:vAlign w:val="top"/>
                </w:tcPr>
                <w:p>
                  <w:pPr>
                    <w:widowControl/>
                    <w:spacing w:after="160" w:line="259" w:lineRule="auto"/>
                    <w:textAlignment w:val="baseline"/>
                    <w:rPr>
                      <w:rFonts w:hint="eastAsia"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序号</w:t>
                  </w:r>
                </w:p>
              </w:tc>
              <w:tc>
                <w:tcPr>
                  <w:tcW w:w="2759" w:type="dxa"/>
                  <w:noWrap w:val="0"/>
                  <w:vAlign w:val="top"/>
                </w:tcPr>
                <w:p>
                  <w:pPr>
                    <w:widowControl/>
                    <w:spacing w:after="160" w:line="259" w:lineRule="auto"/>
                    <w:textAlignment w:val="baseline"/>
                    <w:rPr>
                      <w:rFonts w:hint="eastAsia"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名称</w:t>
                  </w:r>
                </w:p>
              </w:tc>
              <w:tc>
                <w:tcPr>
                  <w:tcW w:w="2655" w:type="dxa"/>
                  <w:noWrap w:val="0"/>
                  <w:vAlign w:val="top"/>
                </w:tcPr>
                <w:p>
                  <w:pPr>
                    <w:widowControl/>
                    <w:spacing w:after="160" w:line="259" w:lineRule="auto"/>
                    <w:textAlignment w:val="baseline"/>
                    <w:rPr>
                      <w:rFonts w:hint="eastAsia"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指标要求</w:t>
                  </w:r>
                </w:p>
              </w:tc>
              <w:tc>
                <w:tcPr>
                  <w:tcW w:w="2472" w:type="dxa"/>
                  <w:noWrap w:val="0"/>
                  <w:vAlign w:val="top"/>
                </w:tcPr>
                <w:p>
                  <w:pPr>
                    <w:widowControl/>
                    <w:spacing w:after="160" w:line="259" w:lineRule="auto"/>
                    <w:textAlignment w:val="baseline"/>
                    <w:rPr>
                      <w:rFonts w:hint="eastAsia"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25" w:type="dxa"/>
                  <w:noWrap w:val="0"/>
                  <w:vAlign w:val="top"/>
                </w:tcPr>
                <w:p>
                  <w:pPr>
                    <w:spacing w:after="0" w:line="360" w:lineRule="auto"/>
                    <w:ind w:firstLine="0" w:firstLineChars="0"/>
                    <w:jc w:val="both"/>
                    <w:textAlignment w:val="baseline"/>
                    <w:rPr>
                      <w:rFonts w:ascii="仿宋_GB2312" w:hAnsi="Times New Roman" w:eastAsia="仿宋_GB2312" w:cs="Times New Roman"/>
                      <w:b/>
                      <w:kern w:val="2"/>
                      <w:sz w:val="24"/>
                      <w:szCs w:val="24"/>
                      <w:highlight w:val="none"/>
                      <w:lang w:val="en-US" w:eastAsia="zh-CN" w:bidi="ar-SA"/>
                    </w:rPr>
                  </w:pPr>
                  <w:r>
                    <w:rPr>
                      <w:rFonts w:hint="eastAsia" w:ascii="仿宋_GB2312" w:hAnsi="Times New Roman" w:eastAsia="仿宋_GB2312" w:cs="Times New Roman"/>
                      <w:b/>
                      <w:kern w:val="2"/>
                      <w:sz w:val="24"/>
                      <w:szCs w:val="24"/>
                      <w:highlight w:val="none"/>
                      <w:lang w:val="en-US" w:eastAsia="zh-CN" w:bidi="ar-SA"/>
                    </w:rPr>
                    <w:t>1.</w:t>
                  </w:r>
                </w:p>
              </w:tc>
              <w:tc>
                <w:tcPr>
                  <w:tcW w:w="2759" w:type="dxa"/>
                  <w:noWrap w:val="0"/>
                  <w:vAlign w:val="top"/>
                </w:tcPr>
                <w:p>
                  <w:pPr>
                    <w:widowControl/>
                    <w:spacing w:after="0" w:line="360" w:lineRule="auto"/>
                    <w:textAlignment w:val="baseline"/>
                    <w:rPr>
                      <w:rFonts w:hint="eastAsia" w:ascii="仿宋_GB2312" w:hAnsi="Times New Roman" w:eastAsia="仿宋_GB2312" w:cs="Times New Roman"/>
                      <w:b/>
                      <w:kern w:val="2"/>
                      <w:sz w:val="24"/>
                      <w:szCs w:val="24"/>
                      <w:highlight w:val="none"/>
                    </w:rPr>
                  </w:pPr>
                </w:p>
              </w:tc>
              <w:tc>
                <w:tcPr>
                  <w:tcW w:w="2655" w:type="dxa"/>
                  <w:noWrap w:val="0"/>
                  <w:vAlign w:val="top"/>
                </w:tcPr>
                <w:p>
                  <w:pPr>
                    <w:widowControl/>
                    <w:spacing w:after="0" w:line="360" w:lineRule="auto"/>
                    <w:textAlignment w:val="baseline"/>
                    <w:rPr>
                      <w:rFonts w:hint="eastAsia" w:ascii="仿宋_GB2312" w:hAnsi="Times New Roman" w:eastAsia="仿宋_GB2312" w:cs="Times New Roman"/>
                      <w:b/>
                      <w:kern w:val="2"/>
                      <w:sz w:val="24"/>
                      <w:szCs w:val="24"/>
                      <w:highlight w:val="none"/>
                    </w:rPr>
                  </w:pPr>
                </w:p>
              </w:tc>
              <w:tc>
                <w:tcPr>
                  <w:tcW w:w="2472" w:type="dxa"/>
                  <w:noWrap w:val="0"/>
                  <w:vAlign w:val="top"/>
                </w:tcPr>
                <w:p>
                  <w:pPr>
                    <w:widowControl/>
                    <w:spacing w:after="0" w:line="360" w:lineRule="auto"/>
                    <w:textAlignment w:val="baseline"/>
                    <w:rPr>
                      <w:rFonts w:hint="eastAsia" w:ascii="仿宋_GB2312" w:hAnsi="Times New Roman" w:eastAsia="仿宋_GB2312" w:cs="Times New Roman"/>
                      <w:b/>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25" w:type="dxa"/>
                  <w:noWrap w:val="0"/>
                  <w:vAlign w:val="top"/>
                </w:tcPr>
                <w:p>
                  <w:pPr>
                    <w:spacing w:after="0" w:line="360" w:lineRule="auto"/>
                    <w:ind w:firstLine="0" w:firstLineChars="0"/>
                    <w:jc w:val="both"/>
                    <w:textAlignment w:val="baseline"/>
                    <w:rPr>
                      <w:rFonts w:ascii="仿宋_GB2312" w:hAnsi="Times New Roman" w:eastAsia="仿宋_GB2312" w:cs="Times New Roman"/>
                      <w:b/>
                      <w:kern w:val="2"/>
                      <w:sz w:val="24"/>
                      <w:szCs w:val="24"/>
                      <w:highlight w:val="none"/>
                      <w:lang w:val="en-US" w:eastAsia="zh-CN" w:bidi="ar-SA"/>
                    </w:rPr>
                  </w:pPr>
                  <w:r>
                    <w:rPr>
                      <w:rFonts w:hint="eastAsia" w:ascii="仿宋_GB2312" w:hAnsi="Times New Roman" w:eastAsia="仿宋_GB2312" w:cs="Times New Roman"/>
                      <w:b/>
                      <w:kern w:val="2"/>
                      <w:sz w:val="24"/>
                      <w:szCs w:val="24"/>
                      <w:highlight w:val="none"/>
                      <w:lang w:val="en-US" w:eastAsia="zh-CN" w:bidi="ar-SA"/>
                    </w:rPr>
                    <w:t>2.</w:t>
                  </w:r>
                </w:p>
              </w:tc>
              <w:tc>
                <w:tcPr>
                  <w:tcW w:w="2759" w:type="dxa"/>
                  <w:noWrap w:val="0"/>
                  <w:vAlign w:val="top"/>
                </w:tcPr>
                <w:p>
                  <w:pPr>
                    <w:widowControl/>
                    <w:spacing w:after="0" w:line="360" w:lineRule="auto"/>
                    <w:textAlignment w:val="baseline"/>
                    <w:rPr>
                      <w:rFonts w:hint="eastAsia" w:ascii="仿宋_GB2312" w:hAnsi="Times New Roman" w:eastAsia="仿宋_GB2312" w:cs="Times New Roman"/>
                      <w:b/>
                      <w:kern w:val="2"/>
                      <w:sz w:val="24"/>
                      <w:szCs w:val="24"/>
                      <w:highlight w:val="none"/>
                    </w:rPr>
                  </w:pPr>
                </w:p>
              </w:tc>
              <w:tc>
                <w:tcPr>
                  <w:tcW w:w="2655" w:type="dxa"/>
                  <w:noWrap w:val="0"/>
                  <w:vAlign w:val="top"/>
                </w:tcPr>
                <w:p>
                  <w:pPr>
                    <w:widowControl/>
                    <w:spacing w:after="0" w:line="360" w:lineRule="auto"/>
                    <w:textAlignment w:val="baseline"/>
                    <w:rPr>
                      <w:rFonts w:hint="eastAsia" w:ascii="仿宋_GB2312" w:hAnsi="Times New Roman" w:eastAsia="仿宋_GB2312" w:cs="Times New Roman"/>
                      <w:b/>
                      <w:kern w:val="2"/>
                      <w:sz w:val="24"/>
                      <w:szCs w:val="24"/>
                      <w:highlight w:val="none"/>
                    </w:rPr>
                  </w:pPr>
                </w:p>
              </w:tc>
              <w:tc>
                <w:tcPr>
                  <w:tcW w:w="2472" w:type="dxa"/>
                  <w:noWrap w:val="0"/>
                  <w:vAlign w:val="top"/>
                </w:tcPr>
                <w:p>
                  <w:pPr>
                    <w:widowControl/>
                    <w:spacing w:after="0" w:line="360" w:lineRule="auto"/>
                    <w:textAlignment w:val="baseline"/>
                    <w:rPr>
                      <w:rFonts w:hint="eastAsia" w:ascii="仿宋_GB2312" w:hAnsi="Times New Roman" w:eastAsia="仿宋_GB2312" w:cs="Times New Roman"/>
                      <w:b/>
                      <w:kern w:val="2"/>
                      <w:sz w:val="24"/>
                      <w:szCs w:val="24"/>
                      <w:highlight w:val="none"/>
                    </w:rPr>
                  </w:pPr>
                </w:p>
              </w:tc>
            </w:tr>
          </w:tbl>
          <w:p>
            <w:pPr>
              <w:spacing w:after="120" w:line="259" w:lineRule="auto"/>
              <w:jc w:val="both"/>
              <w:textAlignment w:val="baseline"/>
              <w:rPr>
                <w:rFonts w:hint="eastAsia" w:ascii="Times New Roman" w:hAnsi="Times New Roman" w:eastAsia="宋体" w:cs="Times New Roman"/>
                <w:kern w:val="2"/>
                <w:sz w:val="21"/>
                <w:szCs w:val="24"/>
                <w:highlight w:val="none"/>
                <w:lang w:val="en-US" w:eastAsia="zh-CN" w:bidi="ar-SA"/>
              </w:rPr>
            </w:pPr>
          </w:p>
          <w:p>
            <w:pPr>
              <w:widowControl/>
              <w:spacing w:after="160" w:line="259" w:lineRule="auto"/>
              <w:textAlignment w:val="baseline"/>
              <w:rPr>
                <w:rFonts w:hint="eastAsia" w:ascii="Times New Roman" w:hAnsi="Times New Roman" w:eastAsia="宋体" w:cs="Times New Roman"/>
                <w:kern w:val="2"/>
                <w:sz w:val="21"/>
                <w:szCs w:val="24"/>
                <w:highlight w:val="none"/>
              </w:rPr>
            </w:pPr>
          </w:p>
          <w:p>
            <w:pPr>
              <w:widowControl/>
              <w:spacing w:after="160" w:line="259" w:lineRule="auto"/>
              <w:textAlignment w:val="baseline"/>
              <w:rPr>
                <w:rFonts w:ascii="宋体" w:hAnsi="宋体" w:eastAsia="宋体" w:cs="Times New Roman"/>
                <w:kern w:val="2"/>
                <w:sz w:val="24"/>
                <w:szCs w:val="24"/>
                <w:highlight w:val="none"/>
              </w:rPr>
            </w:pPr>
            <w:r>
              <w:rPr>
                <w:rFonts w:hint="eastAsia" w:ascii="黑体" w:hAnsi="Times New Roman" w:eastAsia="黑体" w:cs="Times New Roman"/>
                <w:kern w:val="2"/>
                <w:sz w:val="24"/>
                <w:szCs w:val="24"/>
                <w:highlight w:val="none"/>
                <w:u w:val="single"/>
              </w:rPr>
              <w:t>（说明：如内容较多，可拟制技术协议作为合同附件。如技术协议涉密，应在合同文本中注明，并将技术协议妥善保管。如有装置实物，应列出最终交付产品的硬件、软件名称、数量等信息，以及随产品交付所提供的培训、技术服务等内容。打印前删除。）</w:t>
            </w:r>
          </w:p>
          <w:p>
            <w:pPr>
              <w:widowControl/>
              <w:spacing w:after="160" w:line="259" w:lineRule="auto"/>
              <w:textAlignment w:val="baseline"/>
              <w:rPr>
                <w:rFonts w:ascii="仿宋_GB2312" w:hAnsi="Times New Roman" w:eastAsia="仿宋_GB2312" w:cs="Times New Roman"/>
                <w:b/>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二、技术指标与成果形式</w:t>
            </w:r>
          </w:p>
          <w:p>
            <w:pPr>
              <w:widowControl/>
              <w:spacing w:after="160" w:line="259" w:lineRule="auto"/>
              <w:textAlignment w:val="baseline"/>
              <w:rPr>
                <w:rFonts w:hint="eastAsia" w:ascii="仿宋_GB2312" w:hAnsi="Times New Roman" w:eastAsia="仿宋_GB2312" w:cs="Times New Roman"/>
                <w:b/>
                <w:kern w:val="2"/>
                <w:sz w:val="24"/>
                <w:szCs w:val="24"/>
                <w:highlight w:val="none"/>
              </w:rPr>
            </w:pPr>
            <w:r>
              <w:rPr>
                <w:rFonts w:hint="eastAsia" w:ascii="仿宋_GB2312" w:hAnsi="宋体" w:eastAsia="仿宋_GB2312" w:cs="Times New Roman"/>
                <w:b/>
                <w:kern w:val="2"/>
                <w:sz w:val="24"/>
                <w:szCs w:val="24"/>
                <w:highlight w:val="none"/>
              </w:rPr>
              <w:t>㈠</w:t>
            </w:r>
            <w:r>
              <w:rPr>
                <w:rFonts w:hint="eastAsia" w:ascii="仿宋_GB2312" w:hAnsi="Times New Roman" w:eastAsia="仿宋_GB2312" w:cs="Times New Roman"/>
                <w:b/>
                <w:kern w:val="2"/>
                <w:sz w:val="24"/>
                <w:szCs w:val="24"/>
                <w:highlight w:val="none"/>
              </w:rPr>
              <w:t>技术指标：</w:t>
            </w:r>
          </w:p>
          <w:p>
            <w:pPr>
              <w:spacing w:after="120" w:line="259" w:lineRule="auto"/>
              <w:jc w:val="both"/>
              <w:textAlignment w:val="baseline"/>
              <w:rPr>
                <w:rFonts w:hint="eastAsia" w:ascii="仿宋_GB2312" w:hAnsi="Times New Roman" w:eastAsia="仿宋_GB2312" w:cs="Times New Roman"/>
                <w:b/>
                <w:kern w:val="2"/>
                <w:sz w:val="24"/>
                <w:szCs w:val="24"/>
                <w:highlight w:val="none"/>
                <w:lang w:val="en-US" w:eastAsia="zh-CN" w:bidi="ar-SA"/>
              </w:rPr>
            </w:pPr>
            <w:r>
              <w:rPr>
                <w:rFonts w:hint="eastAsia" w:ascii="仿宋_GB2312" w:hAnsi="Times New Roman" w:eastAsia="仿宋_GB2312" w:cs="Times New Roman"/>
                <w:b/>
                <w:kern w:val="2"/>
                <w:sz w:val="24"/>
                <w:szCs w:val="24"/>
                <w:highlight w:val="none"/>
                <w:lang w:val="en-US" w:eastAsia="zh-CN" w:bidi="ar-SA"/>
              </w:rPr>
              <w:t>详见采购文件第四章服务需求</w:t>
            </w:r>
          </w:p>
          <w:p>
            <w:pPr>
              <w:widowControl/>
              <w:spacing w:after="160" w:line="259" w:lineRule="auto"/>
              <w:textAlignment w:val="baseline"/>
              <w:rPr>
                <w:rFonts w:ascii="Times New Roman" w:hAnsi="Times New Roman" w:eastAsia="宋体" w:cs="Times New Roman"/>
                <w:kern w:val="2"/>
                <w:sz w:val="24"/>
                <w:szCs w:val="24"/>
                <w:highlight w:val="none"/>
              </w:rPr>
            </w:pPr>
          </w:p>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黑体" w:hAnsi="Times New Roman" w:eastAsia="黑体" w:cs="Times New Roman"/>
                <w:kern w:val="2"/>
                <w:sz w:val="24"/>
                <w:szCs w:val="24"/>
                <w:highlight w:val="none"/>
                <w:u w:val="single"/>
              </w:rPr>
              <w:t>（说明：如内容较多，可拟制技术协议作为合同附件。打印前删除。）</w:t>
            </w:r>
          </w:p>
          <w:p>
            <w:pPr>
              <w:widowControl/>
              <w:spacing w:after="160" w:line="259" w:lineRule="auto"/>
              <w:textAlignment w:val="baseline"/>
              <w:rPr>
                <w:rFonts w:ascii="宋体" w:hAnsi="宋体" w:eastAsia="宋体" w:cs="Times New Roman"/>
                <w:kern w:val="2"/>
                <w:sz w:val="24"/>
                <w:szCs w:val="24"/>
                <w:highlight w:val="none"/>
              </w:rPr>
            </w:pPr>
          </w:p>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宋体" w:eastAsia="仿宋_GB2312" w:cs="Times New Roman"/>
                <w:b/>
                <w:kern w:val="2"/>
                <w:sz w:val="24"/>
                <w:szCs w:val="24"/>
                <w:highlight w:val="none"/>
              </w:rPr>
              <w:t>㈡</w:t>
            </w:r>
            <w:r>
              <w:rPr>
                <w:rFonts w:hint="eastAsia" w:ascii="仿宋_GB2312" w:hAnsi="Times New Roman" w:eastAsia="仿宋_GB2312" w:cs="Times New Roman"/>
                <w:b/>
                <w:kern w:val="2"/>
                <w:sz w:val="24"/>
                <w:szCs w:val="24"/>
                <w:highlight w:val="none"/>
              </w:rPr>
              <w:t>成果形式：</w:t>
            </w:r>
          </w:p>
          <w:p>
            <w:pPr>
              <w:widowControl/>
              <w:spacing w:after="160" w:line="259" w:lineRule="auto"/>
              <w:textAlignment w:val="baseline"/>
              <w:rPr>
                <w:rFonts w:hint="eastAsia" w:ascii="黑体" w:hAnsi="Times New Roman" w:eastAsia="黑体" w:cs="Times New Roman"/>
                <w:kern w:val="2"/>
                <w:sz w:val="24"/>
                <w:szCs w:val="24"/>
                <w:highlight w:val="none"/>
                <w:u w:val="single"/>
              </w:rPr>
            </w:pP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黑体" w:hAnsi="Times New Roman" w:eastAsia="黑体" w:cs="Times New Roman"/>
                <w:kern w:val="2"/>
                <w:sz w:val="24"/>
                <w:szCs w:val="24"/>
                <w:highlight w:val="none"/>
                <w:u w:val="single"/>
              </w:rPr>
              <w:t>（请具体描述该任务完成后，乙方提交的成果形式，如报告、定制产品、样品样机等等。根据响应文件实际填写，打印前删除。）</w:t>
            </w:r>
          </w:p>
          <w:p>
            <w:pPr>
              <w:widowControl/>
              <w:spacing w:after="160" w:line="259" w:lineRule="auto"/>
              <w:textAlignment w:val="baseline"/>
              <w:rPr>
                <w:rFonts w:ascii="仿宋_GB2312" w:hAnsi="宋体" w:eastAsia="仿宋_GB2312" w:cs="Times New Roman"/>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三、进度安排</w:t>
            </w:r>
            <w:r>
              <w:rPr>
                <w:rFonts w:hint="eastAsia" w:ascii="仿宋_GB2312" w:hAnsi="Times New Roman" w:eastAsia="仿宋_GB2312" w:cs="Times New Roman"/>
                <w:kern w:val="2"/>
                <w:sz w:val="24"/>
                <w:szCs w:val="24"/>
                <w:highlight w:val="none"/>
              </w:rPr>
              <w:t>（根据响应时间确定）</w:t>
            </w:r>
          </w:p>
          <w:p>
            <w:pPr>
              <w:widowControl/>
              <w:spacing w:after="160" w:line="259" w:lineRule="auto"/>
              <w:textAlignment w:val="baseline"/>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㈠本合同的周期为</w:t>
            </w:r>
            <w:r>
              <w:rPr>
                <w:rFonts w:hint="eastAsia" w:ascii="仿宋_GB2312" w:hAnsi="宋体" w:eastAsia="仿宋_GB2312"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年</w:t>
            </w:r>
            <w:r>
              <w:rPr>
                <w:rFonts w:hint="eastAsia" w:ascii="仿宋_GB2312" w:hAnsi="宋体" w:eastAsia="仿宋_GB2312"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月</w:t>
            </w:r>
            <w:r>
              <w:rPr>
                <w:rFonts w:hint="eastAsia" w:ascii="仿宋_GB2312" w:hAnsi="宋体" w:eastAsia="仿宋_GB2312"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日至</w:t>
            </w:r>
            <w:r>
              <w:rPr>
                <w:rFonts w:hint="eastAsia" w:ascii="仿宋_GB2312" w:hAnsi="宋体" w:eastAsia="仿宋_GB2312"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年</w:t>
            </w:r>
            <w:r>
              <w:rPr>
                <w:rFonts w:hint="eastAsia" w:ascii="仿宋_GB2312" w:hAnsi="宋体" w:eastAsia="仿宋_GB2312"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月</w:t>
            </w:r>
            <w:r>
              <w:rPr>
                <w:rFonts w:hint="eastAsia" w:ascii="仿宋_GB2312" w:hAnsi="宋体" w:eastAsia="仿宋_GB2312"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日。</w:t>
            </w: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仿宋_GB2312" w:hAnsi="宋体" w:eastAsia="仿宋_GB2312" w:cs="Times New Roman"/>
                <w:kern w:val="2"/>
                <w:sz w:val="24"/>
                <w:szCs w:val="24"/>
                <w:highlight w:val="none"/>
              </w:rPr>
              <w:t>㈡</w:t>
            </w:r>
            <w:r>
              <w:rPr>
                <w:rFonts w:hint="eastAsia" w:ascii="仿宋_GB2312" w:hAnsi="Times New Roman" w:eastAsia="仿宋_GB2312" w:cs="Times New Roman"/>
                <w:kern w:val="2"/>
                <w:sz w:val="24"/>
                <w:szCs w:val="24"/>
                <w:highlight w:val="none"/>
              </w:rPr>
              <w:t>任务完成以乙方向甲方提交正式成果为标志，正式成果需于</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年</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月</w:t>
            </w:r>
            <w:r>
              <w:rPr>
                <w:rFonts w:hint="eastAsia" w:ascii="仿宋_GB2312" w:hAnsi="Times New Roman" w:eastAsia="仿宋_GB2312"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日前提交。</w:t>
            </w: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㈢标志性节点：</w:t>
            </w:r>
            <w:r>
              <w:rPr>
                <w:rFonts w:hint="eastAsia" w:ascii="黑体" w:hAnsi="Times New Roman" w:eastAsia="黑体" w:cs="Times New Roman"/>
                <w:kern w:val="2"/>
                <w:sz w:val="24"/>
                <w:szCs w:val="24"/>
                <w:highlight w:val="none"/>
                <w:u w:val="single"/>
              </w:rPr>
              <w:t>（应尽量填写，多余空格用“\”填写，空格不够请自行添加。打印前删除。）</w:t>
            </w: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1.</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年</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月</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日前完成：</w:t>
            </w: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2.</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年</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月</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日前完成：</w:t>
            </w: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3.</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年</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月</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日前提供：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四、合同价款及支付方式</w:t>
            </w:r>
          </w:p>
          <w:p>
            <w:pPr>
              <w:widowControl/>
              <w:spacing w:after="160" w:line="259" w:lineRule="auto"/>
              <w:textAlignment w:val="baseline"/>
              <w:rPr>
                <w:rFonts w:ascii="仿宋_GB2312" w:hAnsi="宋体" w:eastAsia="仿宋_GB2312" w:cs="Times New Roman"/>
                <w:b/>
                <w:kern w:val="2"/>
                <w:sz w:val="24"/>
                <w:szCs w:val="24"/>
                <w:highlight w:val="none"/>
              </w:rPr>
            </w:pPr>
            <w:r>
              <w:rPr>
                <w:rFonts w:hint="eastAsia" w:ascii="仿宋_GB2312" w:hAnsi="宋体" w:eastAsia="仿宋_GB2312" w:cs="Times New Roman"/>
                <w:b/>
                <w:kern w:val="2"/>
                <w:sz w:val="24"/>
                <w:szCs w:val="24"/>
                <w:highlight w:val="none"/>
              </w:rPr>
              <w:t>㈠固定价格</w:t>
            </w:r>
            <w:r>
              <w:rPr>
                <w:rFonts w:hint="eastAsia" w:ascii="仿宋_GB2312" w:hAnsi="Times New Roman" w:eastAsia="仿宋_GB2312" w:cs="Times New Roman"/>
                <w:b/>
                <w:kern w:val="2"/>
                <w:sz w:val="24"/>
                <w:szCs w:val="24"/>
                <w:highlight w:val="none"/>
              </w:rPr>
              <w:t>合同</w:t>
            </w:r>
          </w:p>
          <w:p>
            <w:pPr>
              <w:widowControl/>
              <w:spacing w:after="160" w:line="259" w:lineRule="auto"/>
              <w:ind w:firstLine="480" w:firstLineChars="200"/>
              <w:textAlignment w:val="baseline"/>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■本合同为固定价格合同，总金额（含税）共计¥</w:t>
            </w:r>
            <w:r>
              <w:rPr>
                <w:rFonts w:hint="eastAsia" w:ascii="宋体" w:hAnsi="宋体" w:eastAsia="宋体" w:cs="Times New Roman"/>
                <w:kern w:val="2"/>
                <w:sz w:val="24"/>
                <w:szCs w:val="24"/>
                <w:highlight w:val="none"/>
                <w:u w:val="single"/>
              </w:rPr>
              <w:t xml:space="preserve">       </w:t>
            </w:r>
            <w:r>
              <w:rPr>
                <w:rFonts w:hint="eastAsia" w:ascii="宋体" w:hAnsi="宋体" w:eastAsia="宋体" w:cs="Times New Roman"/>
                <w:kern w:val="2"/>
                <w:sz w:val="24"/>
                <w:szCs w:val="24"/>
                <w:highlight w:val="none"/>
              </w:rPr>
              <w:t>万</w:t>
            </w:r>
            <w:r>
              <w:rPr>
                <w:rFonts w:hint="eastAsia" w:ascii="仿宋_GB2312" w:hAnsi="宋体" w:eastAsia="仿宋_GB2312" w:cs="Times New Roman"/>
                <w:kern w:val="2"/>
                <w:sz w:val="24"/>
                <w:szCs w:val="24"/>
                <w:highlight w:val="none"/>
              </w:rPr>
              <w:t>元（大写：</w:t>
            </w:r>
            <w:r>
              <w:rPr>
                <w:rFonts w:hint="eastAsia" w:ascii="宋体" w:hAnsi="宋体" w:eastAsia="宋体"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）。该费用包括但不限于研发费用费、人员报酬、差旅费、税费、管理费等为完成本合同一切费用，除本合同另有约定外，甲方不再另行支付其他任何费用。</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宋体" w:hAnsi="宋体" w:eastAsia="宋体" w:cs="宋体"/>
                <w:kern w:val="2"/>
                <w:sz w:val="24"/>
                <w:szCs w:val="24"/>
                <w:highlight w:val="none"/>
              </w:rPr>
              <w:t>★</w:t>
            </w:r>
            <w:r>
              <w:rPr>
                <w:rFonts w:hint="eastAsia" w:ascii="仿宋_GB2312" w:hAnsi="Times New Roman" w:eastAsia="仿宋_GB2312" w:cs="Times New Roman"/>
                <w:kern w:val="2"/>
                <w:sz w:val="24"/>
                <w:szCs w:val="24"/>
                <w:highlight w:val="none"/>
              </w:rPr>
              <w:t>本合同分</w:t>
            </w:r>
            <w:r>
              <w:rPr>
                <w:rFonts w:hint="eastAsia" w:ascii="宋体" w:hAnsi="宋体" w:eastAsia="宋体" w:cs="Times New Roman"/>
                <w:kern w:val="2"/>
                <w:sz w:val="24"/>
                <w:szCs w:val="24"/>
                <w:highlight w:val="none"/>
                <w:u w:val="single"/>
              </w:rPr>
              <w:t xml:space="preserve">  </w:t>
            </w:r>
            <w:r>
              <w:rPr>
                <w:rFonts w:hint="eastAsia" w:ascii="Times New Roman" w:hAnsi="Times New Roman" w:eastAsia="宋体" w:cs="Times New Roman"/>
                <w:kern w:val="2"/>
                <w:sz w:val="24"/>
                <w:szCs w:val="24"/>
                <w:highlight w:val="none"/>
                <w:u w:val="single"/>
                <w:lang w:val="en-US" w:eastAsia="zh-CN"/>
              </w:rPr>
              <w:t>4</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次支付：</w:t>
            </w:r>
          </w:p>
          <w:p>
            <w:pPr>
              <w:widowControl/>
              <w:spacing w:after="160" w:line="259" w:lineRule="auto"/>
              <w:ind w:firstLine="472" w:firstLineChars="197"/>
              <w:textAlignment w:val="baseline"/>
              <w:rPr>
                <w:rFonts w:ascii="仿宋_GB2312" w:hAnsi="Times New Roman" w:eastAsia="仿宋_GB2312" w:cs="Times New Roman"/>
                <w:kern w:val="2"/>
                <w:sz w:val="24"/>
                <w:szCs w:val="24"/>
                <w:highlight w:val="none"/>
                <w:u w:val="single"/>
              </w:rPr>
            </w:pPr>
            <w:r>
              <w:rPr>
                <w:rFonts w:hint="eastAsia" w:ascii="仿宋_GB2312" w:hAnsi="Times New Roman" w:eastAsia="仿宋_GB2312" w:cs="Times New Roman"/>
                <w:kern w:val="2"/>
                <w:sz w:val="24"/>
                <w:szCs w:val="24"/>
                <w:highlight w:val="none"/>
              </w:rPr>
              <w:t>第一期款项：</w:t>
            </w:r>
            <w:r>
              <w:rPr>
                <w:rFonts w:hint="eastAsia" w:ascii="仿宋_GB2312" w:hAnsi="Times New Roman" w:eastAsia="仿宋_GB2312"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元，占合同总金额</w:t>
            </w:r>
            <w:r>
              <w:rPr>
                <w:rFonts w:hint="eastAsia" w:ascii="仿宋_GB2312" w:hAnsi="Times New Roman" w:eastAsia="仿宋_GB2312" w:cs="Times New Roman"/>
                <w:kern w:val="2"/>
                <w:sz w:val="24"/>
                <w:szCs w:val="24"/>
                <w:highlight w:val="none"/>
                <w:u w:val="single"/>
              </w:rPr>
              <w:t xml:space="preserve"> 20   </w:t>
            </w:r>
            <w:r>
              <w:rPr>
                <w:rFonts w:hint="eastAsia" w:ascii="仿宋_GB2312" w:hAnsi="Times New Roman" w:eastAsia="仿宋_GB2312" w:cs="Times New Roman"/>
                <w:kern w:val="2"/>
                <w:sz w:val="24"/>
                <w:szCs w:val="24"/>
                <w:highlight w:val="none"/>
              </w:rPr>
              <w:t>%，支付前提：</w:t>
            </w:r>
            <w:r>
              <w:rPr>
                <w:rFonts w:hint="eastAsia" w:ascii="仿宋_GB2312" w:hAnsi="Times New Roman" w:eastAsia="仿宋_GB2312" w:cs="Times New Roman"/>
                <w:kern w:val="2"/>
                <w:sz w:val="24"/>
                <w:szCs w:val="24"/>
                <w:highlight w:val="none"/>
                <w:u w:val="single"/>
              </w:rPr>
              <w:t xml:space="preserve"> 合同签订后</w:t>
            </w:r>
            <w:r>
              <w:rPr>
                <w:rFonts w:hint="eastAsia" w:ascii="仿宋_GB2312" w:hAnsi="Times New Roman" w:eastAsia="仿宋_GB2312" w:cs="Times New Roman"/>
                <w:kern w:val="2"/>
                <w:sz w:val="24"/>
                <w:szCs w:val="24"/>
                <w:highlight w:val="none"/>
                <w:u w:val="single"/>
                <w:lang w:val="en-US" w:eastAsia="zh-CN"/>
              </w:rPr>
              <w:t>30天内</w:t>
            </w:r>
            <w:r>
              <w:rPr>
                <w:rFonts w:hint="eastAsia" w:ascii="仿宋_GB2312" w:hAnsi="Times New Roman" w:eastAsia="仿宋_GB2312" w:cs="Times New Roman"/>
                <w:kern w:val="2"/>
                <w:sz w:val="24"/>
                <w:szCs w:val="24"/>
                <w:highlight w:val="none"/>
                <w:u w:val="single"/>
              </w:rPr>
              <w:t>支付</w:t>
            </w:r>
            <w:r>
              <w:rPr>
                <w:rFonts w:hint="eastAsia" w:ascii="仿宋_GB2312" w:hAnsi="Times New Roman" w:eastAsia="仿宋_GB2312" w:cs="Times New Roman"/>
                <w:kern w:val="2"/>
                <w:sz w:val="24"/>
                <w:szCs w:val="24"/>
                <w:highlight w:val="none"/>
                <w:u w:val="single"/>
                <w:lang w:eastAsia="zh-CN"/>
              </w:rPr>
              <w:t>；</w:t>
            </w:r>
            <w:r>
              <w:rPr>
                <w:rFonts w:hint="eastAsia" w:ascii="仿宋_GB2312" w:hAnsi="Times New Roman" w:eastAsia="仿宋_GB2312" w:cs="Times New Roman"/>
                <w:kern w:val="2"/>
                <w:sz w:val="24"/>
                <w:szCs w:val="24"/>
                <w:highlight w:val="none"/>
                <w:u w:val="single"/>
              </w:rPr>
              <w:t xml:space="preserve">       </w:t>
            </w:r>
            <w:r>
              <w:rPr>
                <w:rFonts w:ascii="仿宋_GB2312" w:hAnsi="Times New Roman" w:eastAsia="仿宋_GB2312" w:cs="Times New Roman"/>
                <w:kern w:val="2"/>
                <w:sz w:val="24"/>
                <w:szCs w:val="24"/>
                <w:highlight w:val="none"/>
                <w:u w:val="single"/>
              </w:rPr>
              <w:t xml:space="preserve"> </w:t>
            </w:r>
          </w:p>
          <w:p>
            <w:pPr>
              <w:widowControl/>
              <w:spacing w:after="160" w:line="259" w:lineRule="auto"/>
              <w:ind w:firstLine="472" w:firstLineChars="197"/>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第</w:t>
            </w:r>
            <w:r>
              <w:rPr>
                <w:rFonts w:hint="eastAsia" w:ascii="仿宋_GB2312" w:hAnsi="Times New Roman" w:eastAsia="仿宋_GB2312" w:cs="Times New Roman"/>
                <w:kern w:val="2"/>
                <w:sz w:val="24"/>
                <w:szCs w:val="24"/>
                <w:highlight w:val="none"/>
                <w:lang w:val="en-US" w:eastAsia="zh-CN"/>
              </w:rPr>
              <w:t>二</w:t>
            </w:r>
            <w:r>
              <w:rPr>
                <w:rFonts w:hint="eastAsia" w:ascii="仿宋_GB2312" w:hAnsi="Times New Roman" w:eastAsia="仿宋_GB2312" w:cs="Times New Roman"/>
                <w:kern w:val="2"/>
                <w:sz w:val="24"/>
                <w:szCs w:val="24"/>
                <w:highlight w:val="none"/>
              </w:rPr>
              <w:t>期款项：</w:t>
            </w:r>
            <w:r>
              <w:rPr>
                <w:rFonts w:hint="eastAsia" w:ascii="仿宋_GB2312" w:hAnsi="Times New Roman" w:eastAsia="仿宋_GB2312"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元，占合同总金额</w:t>
            </w:r>
            <w:r>
              <w:rPr>
                <w:rFonts w:hint="eastAsia" w:ascii="仿宋_GB2312" w:hAnsi="Times New Roman" w:eastAsia="仿宋_GB2312"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u w:val="single"/>
                <w:lang w:val="en-US" w:eastAsia="zh-CN"/>
              </w:rPr>
              <w:t>3</w:t>
            </w:r>
            <w:r>
              <w:rPr>
                <w:rFonts w:hint="eastAsia" w:ascii="仿宋_GB2312" w:hAnsi="Times New Roman" w:eastAsia="仿宋_GB2312" w:cs="Times New Roman"/>
                <w:kern w:val="2"/>
                <w:sz w:val="24"/>
                <w:szCs w:val="24"/>
                <w:highlight w:val="none"/>
                <w:u w:val="single"/>
              </w:rPr>
              <w:t xml:space="preserve">0   </w:t>
            </w:r>
            <w:r>
              <w:rPr>
                <w:rFonts w:hint="eastAsia" w:ascii="仿宋_GB2312" w:hAnsi="Times New Roman" w:eastAsia="仿宋_GB2312" w:cs="Times New Roman"/>
                <w:kern w:val="2"/>
                <w:sz w:val="24"/>
                <w:szCs w:val="24"/>
                <w:highlight w:val="none"/>
              </w:rPr>
              <w:t>%，支付前提：</w:t>
            </w:r>
            <w:r>
              <w:rPr>
                <w:rFonts w:hint="eastAsia" w:ascii="仿宋_GB2312" w:hAnsi="Times New Roman" w:eastAsia="仿宋_GB2312" w:cs="Times New Roman"/>
                <w:kern w:val="2"/>
                <w:sz w:val="24"/>
                <w:szCs w:val="24"/>
                <w:highlight w:val="none"/>
                <w:u w:val="single"/>
              </w:rPr>
              <w:t xml:space="preserve"> 软件管理平台通过第三方保密测评</w:t>
            </w:r>
            <w:r>
              <w:rPr>
                <w:rFonts w:hint="eastAsia" w:ascii="仿宋_GB2312" w:hAnsi="Times New Roman" w:eastAsia="仿宋_GB2312" w:cs="Times New Roman"/>
                <w:kern w:val="2"/>
                <w:sz w:val="24"/>
                <w:szCs w:val="24"/>
                <w:highlight w:val="none"/>
                <w:u w:val="single"/>
                <w:lang w:val="en-US" w:eastAsia="zh-CN"/>
              </w:rPr>
              <w:t>，并通过体系文件与软件管理平台的一致性检查及整改后，</w:t>
            </w:r>
            <w:r>
              <w:rPr>
                <w:rFonts w:hint="eastAsia" w:ascii="仿宋_GB2312" w:hAnsi="Times New Roman" w:eastAsia="仿宋_GB2312" w:cs="Times New Roman"/>
                <w:kern w:val="2"/>
                <w:sz w:val="24"/>
                <w:szCs w:val="24"/>
                <w:highlight w:val="none"/>
                <w:u w:val="single"/>
              </w:rPr>
              <w:t>乙方开具</w:t>
            </w:r>
            <w:r>
              <w:rPr>
                <w:rFonts w:hint="eastAsia" w:ascii="仿宋_GB2312" w:hAnsi="Times New Roman" w:eastAsia="仿宋_GB2312" w:cs="Times New Roman"/>
                <w:kern w:val="2"/>
                <w:sz w:val="24"/>
                <w:szCs w:val="24"/>
                <w:highlight w:val="none"/>
                <w:u w:val="single"/>
                <w:lang w:val="en-US" w:eastAsia="zh-CN"/>
              </w:rPr>
              <w:t>相应金额</w:t>
            </w:r>
            <w:r>
              <w:rPr>
                <w:rFonts w:hint="eastAsia" w:ascii="仿宋_GB2312" w:hAnsi="Times New Roman" w:eastAsia="仿宋_GB2312" w:cs="Times New Roman"/>
                <w:kern w:val="2"/>
                <w:sz w:val="24"/>
                <w:szCs w:val="24"/>
                <w:highlight w:val="none"/>
                <w:u w:val="single"/>
              </w:rPr>
              <w:t>发票后</w:t>
            </w:r>
            <w:r>
              <w:rPr>
                <w:rFonts w:hint="eastAsia" w:ascii="仿宋_GB2312" w:hAnsi="Times New Roman" w:eastAsia="仿宋_GB2312" w:cs="Times New Roman"/>
                <w:kern w:val="2"/>
                <w:sz w:val="24"/>
                <w:szCs w:val="24"/>
                <w:highlight w:val="none"/>
                <w:u w:val="single"/>
                <w:lang w:val="en-US" w:eastAsia="zh-CN"/>
              </w:rPr>
              <w:t>30天内</w:t>
            </w:r>
            <w:r>
              <w:rPr>
                <w:rFonts w:hint="eastAsia" w:ascii="仿宋_GB2312" w:hAnsi="Times New Roman" w:eastAsia="仿宋_GB2312" w:cs="Times New Roman"/>
                <w:kern w:val="2"/>
                <w:sz w:val="24"/>
                <w:szCs w:val="24"/>
                <w:highlight w:val="none"/>
                <w:u w:val="single"/>
              </w:rPr>
              <w:t>支付</w:t>
            </w:r>
            <w:r>
              <w:rPr>
                <w:rFonts w:hint="eastAsia" w:ascii="仿宋_GB2312" w:hAnsi="Times New Roman" w:eastAsia="仿宋_GB2312" w:cs="Times New Roman"/>
                <w:kern w:val="2"/>
                <w:sz w:val="24"/>
                <w:szCs w:val="24"/>
                <w:highlight w:val="none"/>
                <w:u w:val="single"/>
                <w:lang w:eastAsia="zh-CN"/>
              </w:rPr>
              <w:t>；</w:t>
            </w:r>
            <w:r>
              <w:rPr>
                <w:rFonts w:hint="eastAsia" w:ascii="仿宋_GB2312" w:hAnsi="Times New Roman" w:eastAsia="仿宋_GB2312" w:cs="Times New Roman"/>
                <w:kern w:val="2"/>
                <w:sz w:val="24"/>
                <w:szCs w:val="24"/>
                <w:highlight w:val="none"/>
                <w:u w:val="single"/>
              </w:rPr>
              <w:t xml:space="preserve">       </w:t>
            </w:r>
            <w:r>
              <w:rPr>
                <w:rFonts w:ascii="仿宋_GB2312" w:hAnsi="Times New Roman" w:eastAsia="仿宋_GB2312" w:cs="Times New Roman"/>
                <w:kern w:val="2"/>
                <w:sz w:val="24"/>
                <w:szCs w:val="24"/>
                <w:highlight w:val="none"/>
                <w:u w:val="single"/>
              </w:rPr>
              <w:t xml:space="preserve"> </w:t>
            </w:r>
          </w:p>
          <w:p>
            <w:pPr>
              <w:widowControl/>
              <w:spacing w:after="160" w:line="259" w:lineRule="auto"/>
              <w:ind w:firstLine="472" w:firstLineChars="197"/>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第</w:t>
            </w:r>
            <w:r>
              <w:rPr>
                <w:rFonts w:hint="eastAsia" w:ascii="仿宋_GB2312" w:hAnsi="Times New Roman" w:eastAsia="仿宋_GB2312" w:cs="Times New Roman"/>
                <w:kern w:val="2"/>
                <w:sz w:val="24"/>
                <w:szCs w:val="24"/>
                <w:highlight w:val="none"/>
                <w:lang w:val="en-US" w:eastAsia="zh-CN"/>
              </w:rPr>
              <w:t>三</w:t>
            </w:r>
            <w:r>
              <w:rPr>
                <w:rFonts w:hint="eastAsia" w:ascii="仿宋_GB2312" w:hAnsi="Times New Roman" w:eastAsia="仿宋_GB2312" w:cs="Times New Roman"/>
                <w:kern w:val="2"/>
                <w:sz w:val="24"/>
                <w:szCs w:val="24"/>
                <w:highlight w:val="none"/>
              </w:rPr>
              <w:t>期款项：</w:t>
            </w:r>
            <w:r>
              <w:rPr>
                <w:rFonts w:hint="eastAsia" w:ascii="仿宋_GB2312" w:hAnsi="Times New Roman" w:eastAsia="仿宋_GB2312"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元，占合同总金额</w:t>
            </w:r>
            <w:r>
              <w:rPr>
                <w:rFonts w:hint="eastAsia" w:ascii="仿宋_GB2312" w:hAnsi="Times New Roman" w:eastAsia="仿宋_GB2312"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u w:val="single"/>
                <w:lang w:val="en-US" w:eastAsia="zh-CN"/>
              </w:rPr>
              <w:t>3</w:t>
            </w:r>
            <w:r>
              <w:rPr>
                <w:rFonts w:hint="eastAsia" w:ascii="仿宋_GB2312" w:hAnsi="Times New Roman" w:eastAsia="仿宋_GB2312" w:cs="Times New Roman"/>
                <w:kern w:val="2"/>
                <w:sz w:val="24"/>
                <w:szCs w:val="24"/>
                <w:highlight w:val="none"/>
                <w:u w:val="single"/>
              </w:rPr>
              <w:t xml:space="preserve">0   </w:t>
            </w:r>
            <w:r>
              <w:rPr>
                <w:rFonts w:hint="eastAsia" w:ascii="仿宋_GB2312" w:hAnsi="Times New Roman" w:eastAsia="仿宋_GB2312" w:cs="Times New Roman"/>
                <w:kern w:val="2"/>
                <w:sz w:val="24"/>
                <w:szCs w:val="24"/>
                <w:highlight w:val="none"/>
              </w:rPr>
              <w:t>%，支付前提：</w:t>
            </w:r>
            <w:r>
              <w:rPr>
                <w:rFonts w:hint="eastAsia" w:ascii="仿宋_GB2312" w:hAnsi="Times New Roman" w:eastAsia="仿宋_GB2312"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u w:val="single"/>
                <w:lang w:val="en-US" w:eastAsia="zh-CN"/>
              </w:rPr>
              <w:t>甲方通过内部评价及整改后，</w:t>
            </w:r>
            <w:r>
              <w:rPr>
                <w:rFonts w:hint="eastAsia" w:ascii="仿宋_GB2312" w:hAnsi="Times New Roman" w:eastAsia="仿宋_GB2312" w:cs="Times New Roman"/>
                <w:kern w:val="2"/>
                <w:sz w:val="24"/>
                <w:szCs w:val="24"/>
                <w:highlight w:val="none"/>
                <w:u w:val="single"/>
              </w:rPr>
              <w:t>乙方开具</w:t>
            </w:r>
            <w:r>
              <w:rPr>
                <w:rFonts w:hint="eastAsia" w:ascii="仿宋_GB2312" w:hAnsi="Times New Roman" w:eastAsia="仿宋_GB2312" w:cs="Times New Roman"/>
                <w:kern w:val="2"/>
                <w:sz w:val="24"/>
                <w:szCs w:val="24"/>
                <w:highlight w:val="none"/>
                <w:u w:val="single"/>
                <w:lang w:val="en-US" w:eastAsia="zh-CN"/>
              </w:rPr>
              <w:t>相应金额</w:t>
            </w:r>
            <w:r>
              <w:rPr>
                <w:rFonts w:hint="eastAsia" w:ascii="仿宋_GB2312" w:hAnsi="Times New Roman" w:eastAsia="仿宋_GB2312" w:cs="Times New Roman"/>
                <w:kern w:val="2"/>
                <w:sz w:val="24"/>
                <w:szCs w:val="24"/>
                <w:highlight w:val="none"/>
                <w:u w:val="single"/>
              </w:rPr>
              <w:t>发票后</w:t>
            </w:r>
            <w:r>
              <w:rPr>
                <w:rFonts w:hint="eastAsia" w:ascii="仿宋_GB2312" w:hAnsi="Times New Roman" w:eastAsia="仿宋_GB2312" w:cs="Times New Roman"/>
                <w:kern w:val="2"/>
                <w:sz w:val="24"/>
                <w:szCs w:val="24"/>
                <w:highlight w:val="none"/>
                <w:u w:val="single"/>
                <w:lang w:val="en-US" w:eastAsia="zh-CN"/>
              </w:rPr>
              <w:t>30天内</w:t>
            </w:r>
            <w:r>
              <w:rPr>
                <w:rFonts w:hint="eastAsia" w:ascii="仿宋_GB2312" w:hAnsi="Times New Roman" w:eastAsia="仿宋_GB2312" w:cs="Times New Roman"/>
                <w:kern w:val="2"/>
                <w:sz w:val="24"/>
                <w:szCs w:val="24"/>
                <w:highlight w:val="none"/>
                <w:u w:val="single"/>
              </w:rPr>
              <w:t>支付</w:t>
            </w:r>
            <w:r>
              <w:rPr>
                <w:rFonts w:hint="eastAsia" w:ascii="仿宋_GB2312" w:hAnsi="Times New Roman" w:eastAsia="仿宋_GB2312" w:cs="Times New Roman"/>
                <w:kern w:val="2"/>
                <w:sz w:val="24"/>
                <w:szCs w:val="24"/>
                <w:highlight w:val="none"/>
                <w:u w:val="single"/>
                <w:lang w:eastAsia="zh-CN"/>
              </w:rPr>
              <w:t>；</w:t>
            </w:r>
            <w:r>
              <w:rPr>
                <w:rFonts w:hint="eastAsia" w:ascii="仿宋_GB2312" w:hAnsi="Times New Roman" w:eastAsia="仿宋_GB2312" w:cs="Times New Roman"/>
                <w:kern w:val="2"/>
                <w:sz w:val="24"/>
                <w:szCs w:val="24"/>
                <w:highlight w:val="none"/>
                <w:u w:val="single"/>
              </w:rPr>
              <w:t xml:space="preserve">       </w:t>
            </w:r>
            <w:r>
              <w:rPr>
                <w:rFonts w:ascii="仿宋_GB2312" w:hAnsi="Times New Roman" w:eastAsia="仿宋_GB2312" w:cs="Times New Roman"/>
                <w:kern w:val="2"/>
                <w:sz w:val="24"/>
                <w:szCs w:val="24"/>
                <w:highlight w:val="none"/>
                <w:u w:val="single"/>
              </w:rPr>
              <w:t xml:space="preserve"> </w:t>
            </w:r>
          </w:p>
          <w:p>
            <w:pPr>
              <w:widowControl/>
              <w:spacing w:after="160" w:line="259" w:lineRule="auto"/>
              <w:ind w:firstLine="472" w:firstLineChars="197"/>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第</w:t>
            </w:r>
            <w:r>
              <w:rPr>
                <w:rFonts w:hint="eastAsia" w:ascii="仿宋_GB2312" w:hAnsi="Times New Roman" w:eastAsia="仿宋_GB2312" w:cs="Times New Roman"/>
                <w:kern w:val="2"/>
                <w:sz w:val="24"/>
                <w:szCs w:val="24"/>
                <w:highlight w:val="none"/>
                <w:lang w:val="en-US" w:eastAsia="zh-CN"/>
              </w:rPr>
              <w:t>四</w:t>
            </w:r>
            <w:r>
              <w:rPr>
                <w:rFonts w:hint="eastAsia" w:ascii="仿宋_GB2312" w:hAnsi="Times New Roman" w:eastAsia="仿宋_GB2312" w:cs="Times New Roman"/>
                <w:kern w:val="2"/>
                <w:sz w:val="24"/>
                <w:szCs w:val="24"/>
                <w:highlight w:val="none"/>
              </w:rPr>
              <w:t>期款项：</w:t>
            </w:r>
            <w:r>
              <w:rPr>
                <w:rFonts w:hint="eastAsia" w:ascii="仿宋_GB2312" w:hAnsi="Times New Roman" w:eastAsia="仿宋_GB2312"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元，占合同总金额</w:t>
            </w:r>
            <w:r>
              <w:rPr>
                <w:rFonts w:hint="eastAsia" w:ascii="仿宋_GB2312" w:hAnsi="Times New Roman" w:eastAsia="仿宋_GB2312"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u w:val="single"/>
                <w:lang w:val="en-US" w:eastAsia="zh-CN"/>
              </w:rPr>
              <w:t>2</w:t>
            </w:r>
            <w:r>
              <w:rPr>
                <w:rFonts w:hint="eastAsia" w:ascii="仿宋_GB2312" w:hAnsi="Times New Roman" w:eastAsia="仿宋_GB2312" w:cs="Times New Roman"/>
                <w:kern w:val="2"/>
                <w:sz w:val="24"/>
                <w:szCs w:val="24"/>
                <w:highlight w:val="none"/>
                <w:u w:val="single"/>
              </w:rPr>
              <w:t xml:space="preserve">0   </w:t>
            </w:r>
            <w:r>
              <w:rPr>
                <w:rFonts w:hint="eastAsia" w:ascii="仿宋_GB2312" w:hAnsi="Times New Roman" w:eastAsia="仿宋_GB2312" w:cs="Times New Roman"/>
                <w:kern w:val="2"/>
                <w:sz w:val="24"/>
                <w:szCs w:val="24"/>
                <w:highlight w:val="none"/>
              </w:rPr>
              <w:t>%，支付前提：</w:t>
            </w:r>
            <w:r>
              <w:rPr>
                <w:rFonts w:hint="eastAsia" w:ascii="仿宋_GB2312" w:hAnsi="Times New Roman" w:eastAsia="仿宋_GB2312" w:cs="Times New Roman"/>
                <w:kern w:val="2"/>
                <w:sz w:val="24"/>
                <w:szCs w:val="24"/>
                <w:highlight w:val="none"/>
                <w:u w:val="single"/>
              </w:rPr>
              <w:t xml:space="preserve"> 甲方通过换版认证并收到乙方开具</w:t>
            </w:r>
            <w:r>
              <w:rPr>
                <w:rFonts w:hint="eastAsia" w:ascii="仿宋_GB2312" w:hAnsi="Times New Roman" w:eastAsia="仿宋_GB2312" w:cs="Times New Roman"/>
                <w:kern w:val="2"/>
                <w:sz w:val="24"/>
                <w:szCs w:val="24"/>
                <w:highlight w:val="none"/>
                <w:u w:val="single"/>
                <w:lang w:val="en-US" w:eastAsia="zh-CN"/>
              </w:rPr>
              <w:t>相应金额</w:t>
            </w:r>
            <w:r>
              <w:rPr>
                <w:rFonts w:hint="eastAsia" w:ascii="仿宋_GB2312" w:hAnsi="Times New Roman" w:eastAsia="仿宋_GB2312" w:cs="Times New Roman"/>
                <w:kern w:val="2"/>
                <w:sz w:val="24"/>
                <w:szCs w:val="24"/>
                <w:highlight w:val="none"/>
                <w:u w:val="single"/>
              </w:rPr>
              <w:t>发票后30日内支付</w:t>
            </w:r>
            <w:r>
              <w:rPr>
                <w:rFonts w:hint="eastAsia" w:ascii="仿宋_GB2312" w:hAnsi="Times New Roman" w:eastAsia="仿宋_GB2312" w:cs="Times New Roman"/>
                <w:kern w:val="2"/>
                <w:sz w:val="24"/>
                <w:szCs w:val="24"/>
                <w:highlight w:val="none"/>
                <w:u w:val="single"/>
                <w:lang w:eastAsia="zh-CN"/>
              </w:rPr>
              <w:t>。</w:t>
            </w:r>
            <w:r>
              <w:rPr>
                <w:rFonts w:hint="eastAsia" w:ascii="仿宋_GB2312" w:hAnsi="Times New Roman" w:eastAsia="仿宋_GB2312" w:cs="Times New Roman"/>
                <w:kern w:val="2"/>
                <w:sz w:val="24"/>
                <w:szCs w:val="24"/>
                <w:highlight w:val="none"/>
                <w:u w:val="single"/>
              </w:rPr>
              <w:t xml:space="preserve">        </w:t>
            </w:r>
          </w:p>
          <w:p>
            <w:pPr>
              <w:widowControl/>
              <w:spacing w:after="160" w:line="259" w:lineRule="auto"/>
              <w:ind w:firstLine="480" w:firstLineChars="200"/>
              <w:textAlignment w:val="baseline"/>
              <w:rPr>
                <w:rFonts w:ascii="仿宋_GB2312" w:hAnsi="宋体" w:eastAsia="仿宋_GB2312" w:cs="Times New Roman"/>
                <w:kern w:val="2"/>
                <w:sz w:val="24"/>
                <w:szCs w:val="24"/>
                <w:highlight w:val="none"/>
              </w:rPr>
            </w:pPr>
            <w:r>
              <w:rPr>
                <w:rFonts w:hint="eastAsia" w:ascii="黑体" w:hAnsi="Times New Roman" w:eastAsia="黑体" w:cs="Times New Roman"/>
                <w:kern w:val="2"/>
                <w:sz w:val="24"/>
                <w:szCs w:val="24"/>
                <w:highlight w:val="none"/>
                <w:u w:val="single"/>
              </w:rPr>
              <w:t>（填写说明：①支付次数=第X期款项+质保金；②第X期款项=占合同总金额百分比×合同总金额，应精确到“元”。③“第X期款项”为预付款、中期款、验收款等，不包括质保金。④“第X期款项”不够可以自行添加，未填空格不得删除。⑤质保期从合同约定完成验收日期（验收合格）后开始计算，如未约定验收日期，从乙方交付后30个自然日开始计算。打印前删除。）</w:t>
            </w:r>
          </w:p>
          <w:p>
            <w:pPr>
              <w:widowControl/>
              <w:spacing w:after="160" w:line="259" w:lineRule="auto"/>
              <w:textAlignment w:val="baseline"/>
              <w:rPr>
                <w:rFonts w:ascii="仿宋_GB2312" w:hAnsi="宋体" w:eastAsia="仿宋_GB2312" w:cs="Times New Roman"/>
                <w:b/>
                <w:kern w:val="2"/>
                <w:sz w:val="24"/>
                <w:szCs w:val="24"/>
                <w:highlight w:val="none"/>
              </w:rPr>
            </w:pPr>
            <w:r>
              <w:rPr>
                <w:rFonts w:hint="eastAsia" w:ascii="仿宋_GB2312" w:hAnsi="宋体" w:eastAsia="仿宋_GB2312" w:cs="Times New Roman"/>
                <w:b/>
                <w:kern w:val="2"/>
                <w:sz w:val="24"/>
                <w:szCs w:val="24"/>
                <w:highlight w:val="none"/>
              </w:rPr>
              <w:t>㈡单价</w:t>
            </w:r>
            <w:r>
              <w:rPr>
                <w:rFonts w:hint="eastAsia" w:ascii="仿宋_GB2312" w:hAnsi="Times New Roman" w:eastAsia="仿宋_GB2312" w:cs="Times New Roman"/>
                <w:b/>
                <w:kern w:val="2"/>
                <w:sz w:val="24"/>
                <w:szCs w:val="24"/>
                <w:highlight w:val="none"/>
              </w:rPr>
              <w:t>合同</w:t>
            </w:r>
          </w:p>
          <w:p>
            <w:pPr>
              <w:widowControl/>
              <w:spacing w:after="160" w:line="259" w:lineRule="auto"/>
              <w:ind w:firstLine="480" w:firstLineChars="200"/>
              <w:textAlignment w:val="baseline"/>
              <w:rPr>
                <w:rFonts w:ascii="仿宋_GB2312" w:hAnsi="Times New Roman" w:eastAsia="仿宋_GB2312" w:cs="Times New Roman"/>
                <w:b/>
                <w:kern w:val="2"/>
                <w:sz w:val="24"/>
                <w:szCs w:val="24"/>
                <w:highlight w:val="none"/>
              </w:rPr>
            </w:pPr>
            <w:r>
              <w:rPr>
                <w:rFonts w:hint="eastAsia" w:ascii="仿宋_GB2312" w:hAnsi="宋体" w:eastAsia="仿宋_GB2312" w:cs="Times New Roman"/>
                <w:kern w:val="2"/>
                <w:sz w:val="24"/>
                <w:szCs w:val="24"/>
                <w:highlight w:val="none"/>
              </w:rPr>
              <w:t>□本合同为单价合同（价格明细详见下表），最高上限金额（含税）共计¥</w:t>
            </w:r>
            <w:r>
              <w:rPr>
                <w:rFonts w:hint="eastAsia" w:ascii="宋体" w:hAnsi="宋体" w:eastAsia="宋体"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元（大写：</w:t>
            </w:r>
            <w:r>
              <w:rPr>
                <w:rFonts w:hint="eastAsia" w:ascii="宋体" w:hAnsi="宋体" w:eastAsia="宋体"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），本合同有效期内，单价保持不变。</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本合同支付方式：□根据执行情况分批次支付  □一次性支付</w:t>
            </w:r>
          </w:p>
          <w:p>
            <w:pPr>
              <w:widowControl/>
              <w:spacing w:after="160" w:line="360"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㈢支付条件</w:t>
            </w:r>
          </w:p>
          <w:p>
            <w:pPr>
              <w:widowControl/>
              <w:spacing w:after="160" w:line="259" w:lineRule="auto"/>
              <w:ind w:firstLine="480" w:firstLineChars="200"/>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kern w:val="2"/>
                <w:sz w:val="24"/>
                <w:szCs w:val="24"/>
                <w:highlight w:val="none"/>
              </w:rPr>
              <w:t>乙方应提前7个工作日向甲方提出每期款项的付款申请，否则甲方有权拒绝付款，且不承担任何违约责任。乙方应当对其开具发票的合规性负责，如果因乙方开具的发票不合规而导致甲方无法税前扣除或者遭受其他损失，乙方应承担赔偿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五、主要管理要求</w:t>
            </w:r>
          </w:p>
          <w:p>
            <w:pPr>
              <w:widowControl/>
              <w:spacing w:after="160" w:line="259" w:lineRule="auto"/>
              <w:ind w:firstLine="480" w:firstLineChars="200"/>
              <w:textAlignment w:val="baseline"/>
              <w:rPr>
                <w:rFonts w:ascii="Times New Roman" w:hAnsi="Times New Roman" w:eastAsia="仿宋_GB2312" w:cs="Times New Roman"/>
                <w:kern w:val="2"/>
                <w:sz w:val="24"/>
                <w:szCs w:val="32"/>
                <w:highlight w:val="none"/>
              </w:rPr>
            </w:pPr>
            <w:r>
              <w:rPr>
                <w:rFonts w:hint="eastAsia" w:ascii="仿宋_GB2312" w:hAnsi="Times New Roman" w:eastAsia="仿宋_GB2312" w:cs="Times New Roman"/>
                <w:kern w:val="2"/>
                <w:sz w:val="24"/>
                <w:szCs w:val="24"/>
                <w:highlight w:val="none"/>
              </w:rPr>
              <w:t>■</w:t>
            </w:r>
            <w:r>
              <w:rPr>
                <w:rFonts w:hint="eastAsia" w:ascii="Times New Roman" w:hAnsi="Times New Roman" w:eastAsia="仿宋_GB2312" w:cs="Times New Roman"/>
                <w:kern w:val="2"/>
                <w:sz w:val="24"/>
                <w:szCs w:val="32"/>
                <w:highlight w:val="none"/>
              </w:rPr>
              <w:t>甲方有权随时检查并监督乙方供货/生产进度，确保按期完成。</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■甲方有权到乙方现场进行监督检查，乙方应全力配合。在检查中</w:t>
            </w:r>
            <w:r>
              <w:rPr>
                <w:rFonts w:ascii="仿宋_GB2312" w:hAnsi="Times New Roman" w:eastAsia="仿宋_GB2312" w:cs="Times New Roman"/>
                <w:kern w:val="2"/>
                <w:sz w:val="24"/>
                <w:szCs w:val="24"/>
                <w:highlight w:val="none"/>
              </w:rPr>
              <w:t>若发现有影响合同按时履行的问题,</w:t>
            </w:r>
            <w:r>
              <w:rPr>
                <w:rFonts w:hint="eastAsia" w:ascii="仿宋_GB2312" w:hAnsi="Times New Roman" w:eastAsia="仿宋_GB2312" w:cs="Times New Roman"/>
                <w:kern w:val="2"/>
                <w:sz w:val="24"/>
                <w:szCs w:val="24"/>
                <w:highlight w:val="none"/>
              </w:rPr>
              <w:t>甲方</w:t>
            </w:r>
            <w:r>
              <w:rPr>
                <w:rFonts w:ascii="仿宋_GB2312" w:hAnsi="Times New Roman" w:eastAsia="仿宋_GB2312" w:cs="Times New Roman"/>
                <w:kern w:val="2"/>
                <w:sz w:val="24"/>
                <w:szCs w:val="24"/>
                <w:highlight w:val="none"/>
              </w:rPr>
              <w:t>应及时与</w:t>
            </w:r>
            <w:r>
              <w:rPr>
                <w:rFonts w:hint="eastAsia" w:ascii="仿宋_GB2312" w:hAnsi="Times New Roman" w:eastAsia="仿宋_GB2312" w:cs="Times New Roman"/>
                <w:kern w:val="2"/>
                <w:sz w:val="24"/>
                <w:szCs w:val="24"/>
                <w:highlight w:val="none"/>
              </w:rPr>
              <w:t>乙方</w:t>
            </w:r>
            <w:r>
              <w:rPr>
                <w:rFonts w:ascii="仿宋_GB2312" w:hAnsi="Times New Roman" w:eastAsia="仿宋_GB2312" w:cs="Times New Roman"/>
                <w:kern w:val="2"/>
                <w:sz w:val="24"/>
                <w:szCs w:val="24"/>
                <w:highlight w:val="none"/>
              </w:rPr>
              <w:t>协商</w:t>
            </w:r>
            <w:r>
              <w:rPr>
                <w:rFonts w:hint="eastAsia" w:ascii="仿宋_GB2312" w:hAnsi="Times New Roman" w:eastAsia="仿宋_GB2312" w:cs="Times New Roman"/>
                <w:kern w:val="2"/>
                <w:sz w:val="24"/>
                <w:szCs w:val="24"/>
                <w:highlight w:val="none"/>
              </w:rPr>
              <w:t>；</w:t>
            </w:r>
            <w:r>
              <w:rPr>
                <w:rFonts w:ascii="仿宋_GB2312" w:hAnsi="Times New Roman" w:eastAsia="仿宋_GB2312" w:cs="Times New Roman"/>
                <w:kern w:val="2"/>
                <w:sz w:val="24"/>
                <w:szCs w:val="24"/>
                <w:highlight w:val="none"/>
              </w:rPr>
              <w:t>对</w:t>
            </w:r>
            <w:r>
              <w:rPr>
                <w:rFonts w:hint="eastAsia" w:ascii="仿宋_GB2312" w:hAnsi="Times New Roman" w:eastAsia="仿宋_GB2312" w:cs="Times New Roman"/>
                <w:kern w:val="2"/>
                <w:sz w:val="24"/>
                <w:szCs w:val="24"/>
                <w:highlight w:val="none"/>
              </w:rPr>
              <w:t>乙方</w:t>
            </w:r>
            <w:r>
              <w:rPr>
                <w:rFonts w:ascii="仿宋_GB2312" w:hAnsi="Times New Roman" w:eastAsia="仿宋_GB2312" w:cs="Times New Roman"/>
                <w:kern w:val="2"/>
                <w:sz w:val="24"/>
                <w:szCs w:val="24"/>
                <w:highlight w:val="none"/>
              </w:rPr>
              <w:t>提出的异议,</w:t>
            </w:r>
            <w:r>
              <w:rPr>
                <w:rFonts w:hint="eastAsia" w:ascii="仿宋_GB2312" w:hAnsi="Times New Roman" w:eastAsia="仿宋_GB2312" w:cs="Times New Roman"/>
                <w:kern w:val="2"/>
                <w:sz w:val="24"/>
                <w:szCs w:val="24"/>
                <w:highlight w:val="none"/>
              </w:rPr>
              <w:t>甲方应及时答复。</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■如发生二次外包，乙方在选择次级供方时应征得甲方同意，并采取适当的控制措施。</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w:t>
            </w:r>
            <w:r>
              <w:rPr>
                <w:rFonts w:hint="eastAsia" w:ascii="仿宋_GB2312" w:hAnsi="宋体" w:eastAsia="仿宋_GB2312" w:cs="Times New Roman"/>
                <w:kern w:val="2"/>
                <w:sz w:val="24"/>
                <w:szCs w:val="24"/>
                <w:highlight w:val="none"/>
              </w:rPr>
              <w:t>本采购任务涉密，密级为：</w:t>
            </w:r>
            <w:r>
              <w:rPr>
                <w:rFonts w:hint="eastAsia" w:ascii="宋体" w:hAnsi="宋体" w:eastAsia="宋体"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，应严格遵守国家及我院相关保密法律法规要求。</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□本合同项目非主体、非关键性工作存在分包情况，已在投标、响应文件中说明了分包承担单位，且分包承担单位具备相应保密资格（资质）或保密条件。</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□乙方人员进入甲方管辖区域现场作业前，甲方对乙方进行保密告知（保密教育）；乙方人员在甲方管辖区域现场作业期间，甲方对其进行保密监督。</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□合同结束后，乙方按保密协议要求处理涉密载体和密品等，甲方有权对乙方保密履行情况进行监督检查。</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□保密协议详见附件。</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乙方负责设备设施现场施工安装的，在人员进入甲方管辖区域现场作业前，甲方和乙方需签订安全协议；甲方对乙方进行安全提醒和告知（安全教育）；乙方人员在甲方管辖区域现场作业期间，甲方需对其进行安全监督。</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□乙方向甲方提供危险化学品、特种设备、特种劳动防护用品及其他涉及到职业健康安全（环保）内容的货物,应提供产品合格证、技术安全说明书、运输说明、贮存说明等资料。</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□安全协议详见附件。</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■根据工作需要，乙方同意和接受甲方以及甲方上级管理部门组织开展的对合同价格审核、合同执行监督等要求。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六、交付及验收</w:t>
            </w:r>
          </w:p>
          <w:p>
            <w:pPr>
              <w:widowControl/>
              <w:spacing w:after="160" w:line="420" w:lineRule="exact"/>
              <w:textAlignment w:val="baseline"/>
              <w:rPr>
                <w:rFonts w:ascii="仿宋_GB2312" w:hAnsi="宋体" w:eastAsia="仿宋_GB2312" w:cs="Times New Roman"/>
                <w:b/>
                <w:kern w:val="2"/>
                <w:sz w:val="24"/>
                <w:szCs w:val="24"/>
                <w:highlight w:val="none"/>
              </w:rPr>
            </w:pPr>
            <w:r>
              <w:rPr>
                <w:rFonts w:hint="eastAsia" w:ascii="仿宋_GB2312" w:hAnsi="宋体" w:eastAsia="仿宋_GB2312" w:cs="Times New Roman"/>
                <w:b/>
                <w:kern w:val="2"/>
                <w:sz w:val="24"/>
                <w:szCs w:val="24"/>
                <w:highlight w:val="none"/>
              </w:rPr>
              <w:t>㈠交付方式（如有实物）</w:t>
            </w:r>
          </w:p>
          <w:p>
            <w:pPr>
              <w:widowControl/>
              <w:spacing w:after="160" w:line="420" w:lineRule="exact"/>
              <w:ind w:firstLine="480" w:firstLineChars="200"/>
              <w:textAlignment w:val="baseline"/>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以</w:t>
            </w:r>
            <w:r>
              <w:rPr>
                <w:rFonts w:hint="eastAsia" w:ascii="宋体" w:hAnsi="宋体" w:eastAsia="宋体"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u w:val="single"/>
              </w:rPr>
              <w:t xml:space="preserve">  </w:t>
            </w:r>
            <w:r>
              <w:rPr>
                <w:rFonts w:hint="eastAsia" w:ascii="宋体" w:hAnsi="宋体" w:eastAsia="宋体"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方式交付，装卸、运费由</w:t>
            </w:r>
            <w:r>
              <w:rPr>
                <w:rFonts w:hint="eastAsia" w:ascii="宋体" w:hAnsi="宋体" w:eastAsia="宋体"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u w:val="single"/>
                <w:lang w:val="en-US" w:eastAsia="zh-CN"/>
              </w:rPr>
              <w:t>乙方</w:t>
            </w:r>
            <w:r>
              <w:rPr>
                <w:rFonts w:hint="eastAsia" w:ascii="仿宋_GB2312" w:hAnsi="宋体" w:eastAsia="仿宋_GB2312"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承担。</w:t>
            </w:r>
          </w:p>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㈡交付地点</w:t>
            </w:r>
          </w:p>
          <w:p>
            <w:pPr>
              <w:widowControl/>
              <w:spacing w:after="160" w:line="420" w:lineRule="exact"/>
              <w:textAlignment w:val="baseline"/>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绵阳市游仙区绵山路6</w:t>
            </w:r>
            <w:r>
              <w:rPr>
                <w:rFonts w:ascii="仿宋_GB2312" w:hAnsi="宋体" w:eastAsia="仿宋_GB2312" w:cs="Times New Roman"/>
                <w:kern w:val="2"/>
                <w:sz w:val="24"/>
                <w:szCs w:val="24"/>
                <w:highlight w:val="none"/>
              </w:rPr>
              <w:t>4</w:t>
            </w:r>
            <w:r>
              <w:rPr>
                <w:rFonts w:hint="eastAsia" w:ascii="仿宋_GB2312" w:hAnsi="宋体" w:eastAsia="仿宋_GB2312" w:cs="Times New Roman"/>
                <w:kern w:val="2"/>
                <w:sz w:val="24"/>
                <w:szCs w:val="24"/>
                <w:highlight w:val="none"/>
              </w:rPr>
              <w:t>号中物院应用电子学研究所</w:t>
            </w:r>
          </w:p>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㈢验收方式</w:t>
            </w:r>
          </w:p>
          <w:p>
            <w:pPr>
              <w:widowControl/>
              <w:spacing w:after="160" w:line="259" w:lineRule="auto"/>
              <w:textAlignment w:val="baseline"/>
              <w:rPr>
                <w:rFonts w:ascii="黑体" w:hAnsi="黑体" w:eastAsia="黑体" w:cs="Times New Roman"/>
                <w:kern w:val="2"/>
                <w:sz w:val="24"/>
                <w:szCs w:val="24"/>
                <w:highlight w:val="none"/>
              </w:rPr>
            </w:pPr>
            <w:r>
              <w:rPr>
                <w:rFonts w:hint="eastAsia" w:ascii="仿宋_GB2312" w:hAnsi="Times New Roman" w:eastAsia="仿宋_GB2312" w:cs="Times New Roman"/>
                <w:b/>
                <w:kern w:val="2"/>
                <w:sz w:val="24"/>
                <w:szCs w:val="24"/>
                <w:highlight w:val="none"/>
              </w:rPr>
              <w:t>1.验收时间：</w:t>
            </w:r>
            <w:r>
              <w:rPr>
                <w:rFonts w:ascii="仿宋_GB2312" w:hAnsi="黑体" w:eastAsia="仿宋_GB2312" w:cs="Times New Roman"/>
                <w:kern w:val="2"/>
                <w:sz w:val="24"/>
                <w:szCs w:val="24"/>
                <w:highlight w:val="none"/>
              </w:rPr>
              <w:t xml:space="preserve">      </w:t>
            </w:r>
          </w:p>
          <w:p>
            <w:pPr>
              <w:widowControl/>
              <w:spacing w:after="160" w:line="259" w:lineRule="auto"/>
              <w:textAlignment w:val="baseline"/>
              <w:rPr>
                <w:rFonts w:ascii="仿宋_GB2312" w:hAnsi="黑体" w:eastAsia="仿宋_GB2312" w:cs="Times New Roman"/>
                <w:kern w:val="2"/>
                <w:sz w:val="24"/>
                <w:szCs w:val="24"/>
                <w:highlight w:val="none"/>
              </w:rPr>
            </w:pPr>
            <w:r>
              <w:rPr>
                <w:rFonts w:hint="eastAsia" w:ascii="仿宋_GB2312" w:hAnsi="Times New Roman" w:eastAsia="仿宋_GB2312" w:cs="Times New Roman"/>
                <w:b/>
                <w:kern w:val="2"/>
                <w:sz w:val="24"/>
                <w:szCs w:val="24"/>
                <w:highlight w:val="none"/>
              </w:rPr>
              <w:t>2.验收地点：</w:t>
            </w:r>
            <w:r>
              <w:rPr>
                <w:rFonts w:hint="eastAsia" w:ascii="仿宋_GB2312" w:hAnsi="Times New Roman" w:eastAsia="仿宋_GB2312" w:cs="Times New Roman"/>
                <w:b/>
                <w:kern w:val="2"/>
                <w:sz w:val="24"/>
                <w:szCs w:val="24"/>
                <w:highlight w:val="none"/>
                <w:lang w:val="en-US" w:eastAsia="zh-CN"/>
              </w:rPr>
              <w:t>绵山路64号，中物院应用电子学研究所</w:t>
            </w:r>
            <w:r>
              <w:rPr>
                <w:rFonts w:ascii="仿宋_GB2312" w:hAnsi="黑体" w:eastAsia="仿宋_GB2312" w:cs="Times New Roman"/>
                <w:kern w:val="2"/>
                <w:sz w:val="24"/>
                <w:szCs w:val="24"/>
                <w:highlight w:val="none"/>
              </w:rPr>
              <w:t xml:space="preserve">      </w:t>
            </w:r>
          </w:p>
          <w:p>
            <w:pPr>
              <w:widowControl/>
              <w:spacing w:after="160" w:line="259" w:lineRule="auto"/>
              <w:textAlignment w:val="baseline"/>
              <w:rPr>
                <w:rFonts w:ascii="仿宋_GB2312" w:hAnsi="黑体" w:eastAsia="仿宋_GB2312" w:cs="Times New Roman"/>
                <w:kern w:val="2"/>
                <w:sz w:val="24"/>
                <w:szCs w:val="24"/>
                <w:highlight w:val="none"/>
              </w:rPr>
            </w:pPr>
            <w:r>
              <w:rPr>
                <w:rFonts w:hint="eastAsia" w:ascii="仿宋_GB2312" w:hAnsi="Times New Roman" w:eastAsia="仿宋_GB2312" w:cs="Times New Roman"/>
                <w:b/>
                <w:kern w:val="2"/>
                <w:sz w:val="24"/>
                <w:szCs w:val="24"/>
                <w:highlight w:val="none"/>
              </w:rPr>
              <w:t>3.验收材料：</w:t>
            </w:r>
            <w:r>
              <w:rPr>
                <w:rFonts w:ascii="仿宋_GB2312" w:hAnsi="黑体" w:eastAsia="仿宋_GB2312" w:cs="Times New Roman"/>
                <w:kern w:val="2"/>
                <w:sz w:val="24"/>
                <w:szCs w:val="24"/>
                <w:highlight w:val="none"/>
              </w:rPr>
              <w:t xml:space="preserve">      </w:t>
            </w:r>
          </w:p>
          <w:p>
            <w:pPr>
              <w:widowControl/>
              <w:spacing w:after="160" w:line="259" w:lineRule="auto"/>
              <w:textAlignment w:val="baseline"/>
              <w:rPr>
                <w:rFonts w:ascii="仿宋_GB2312" w:hAnsi="黑体" w:eastAsia="仿宋_GB2312" w:cs="Times New Roman"/>
                <w:kern w:val="2"/>
                <w:sz w:val="24"/>
                <w:szCs w:val="24"/>
                <w:highlight w:val="none"/>
              </w:rPr>
            </w:pPr>
            <w:r>
              <w:rPr>
                <w:rFonts w:hint="eastAsia" w:ascii="仿宋_GB2312" w:hAnsi="Times New Roman" w:eastAsia="仿宋_GB2312" w:cs="Times New Roman"/>
                <w:b/>
                <w:kern w:val="2"/>
                <w:sz w:val="24"/>
                <w:szCs w:val="24"/>
                <w:highlight w:val="none"/>
              </w:rPr>
              <w:t>4.验收方式：</w:t>
            </w:r>
            <w:r>
              <w:rPr>
                <w:rFonts w:hint="eastAsia" w:ascii="仿宋_GB2312" w:hAnsi="黑体" w:eastAsia="仿宋_GB2312" w:cs="Times New Roman"/>
                <w:kern w:val="2"/>
                <w:sz w:val="24"/>
                <w:szCs w:val="24"/>
                <w:highlight w:val="none"/>
              </w:rPr>
              <w:t xml:space="preserve">      </w:t>
            </w:r>
          </w:p>
          <w:p>
            <w:pPr>
              <w:widowControl/>
              <w:spacing w:after="160" w:line="259" w:lineRule="auto"/>
              <w:textAlignment w:val="baseline"/>
              <w:rPr>
                <w:rFonts w:ascii="仿宋_GB2312" w:hAnsi="黑体" w:eastAsia="仿宋_GB2312" w:cs="Times New Roman"/>
                <w:kern w:val="2"/>
                <w:sz w:val="24"/>
                <w:szCs w:val="24"/>
                <w:highlight w:val="none"/>
              </w:rPr>
            </w:pPr>
            <w:r>
              <w:rPr>
                <w:rFonts w:hint="eastAsia" w:ascii="仿宋_GB2312" w:hAnsi="Times New Roman" w:eastAsia="仿宋_GB2312" w:cs="Times New Roman"/>
                <w:b/>
                <w:kern w:val="2"/>
                <w:sz w:val="24"/>
                <w:szCs w:val="24"/>
                <w:highlight w:val="none"/>
              </w:rPr>
              <w:t>5.验收合格判据：</w:t>
            </w:r>
            <w:r>
              <w:rPr>
                <w:rFonts w:hint="eastAsia" w:ascii="仿宋_GB2312" w:hAnsi="Times New Roman" w:eastAsia="仿宋_GB2312" w:cs="Times New Roman"/>
                <w:b/>
                <w:kern w:val="2"/>
                <w:sz w:val="24"/>
                <w:szCs w:val="24"/>
                <w:highlight w:val="none"/>
                <w:lang w:eastAsia="zh-CN"/>
              </w:rPr>
              <w:t>甲方通过GJB 5000B换版认证。</w:t>
            </w:r>
          </w:p>
          <w:p>
            <w:pPr>
              <w:widowControl/>
              <w:spacing w:after="160" w:line="259" w:lineRule="auto"/>
              <w:textAlignment w:val="baseline"/>
              <w:rPr>
                <w:rFonts w:ascii="仿宋_GB2312" w:hAnsi="宋体" w:eastAsia="仿宋_GB2312" w:cs="Times New Roman"/>
                <w:kern w:val="2"/>
                <w:sz w:val="24"/>
                <w:szCs w:val="24"/>
                <w:highlight w:val="none"/>
              </w:rPr>
            </w:pPr>
            <w:r>
              <w:rPr>
                <w:rFonts w:hint="eastAsia" w:ascii="仿宋_GB2312" w:hAnsi="Times New Roman" w:eastAsia="仿宋_GB2312" w:cs="Times New Roman"/>
                <w:b/>
                <w:kern w:val="2"/>
                <w:sz w:val="24"/>
                <w:szCs w:val="24"/>
                <w:highlight w:val="none"/>
              </w:rPr>
              <w:t>6.问题处理方式：</w:t>
            </w:r>
            <w:r>
              <w:rPr>
                <w:rFonts w:hint="eastAsia" w:ascii="仿宋_GB2312" w:hAnsi="黑体" w:eastAsia="仿宋_GB2312" w:cs="Times New Roman"/>
                <w:kern w:val="2"/>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八、成果归属</w:t>
            </w:r>
          </w:p>
          <w:p>
            <w:pPr>
              <w:widowControl/>
              <w:spacing w:after="160" w:line="259" w:lineRule="auto"/>
              <w:ind w:firstLine="480" w:firstLineChars="200"/>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本采购任务所取得的技术成果的知识产权归</w:t>
            </w:r>
            <w:r>
              <w:rPr>
                <w:rFonts w:hint="eastAsia" w:ascii="宋体" w:hAnsi="宋体" w:eastAsia="宋体"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rPr>
              <w:t>所有</w:t>
            </w:r>
            <w:r>
              <w:rPr>
                <w:rFonts w:hint="eastAsia" w:ascii="仿宋_GB2312" w:hAnsi="Times New Roman" w:eastAsia="仿宋_GB2312" w:cs="Times New Roman"/>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九、技术文件</w:t>
            </w:r>
          </w:p>
          <w:p>
            <w:pPr>
              <w:widowControl/>
              <w:spacing w:after="160" w:line="460" w:lineRule="exact"/>
              <w:textAlignment w:val="baseline"/>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根据响应文件据实填写。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spacing w:after="160" w:line="360" w:lineRule="auto"/>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十、甲方的权利与义务</w:t>
            </w: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仿宋_GB2312" w:hAnsi="宋体" w:eastAsia="仿宋_GB2312" w:cs="Times New Roman"/>
                <w:kern w:val="2"/>
                <w:sz w:val="24"/>
                <w:szCs w:val="24"/>
                <w:highlight w:val="none"/>
              </w:rPr>
              <w:t>㈠</w:t>
            </w:r>
            <w:r>
              <w:rPr>
                <w:rFonts w:hint="eastAsia" w:ascii="仿宋_GB2312" w:hAnsi="Times New Roman" w:eastAsia="仿宋_GB2312" w:cs="Times New Roman"/>
                <w:kern w:val="2"/>
                <w:sz w:val="24"/>
                <w:szCs w:val="24"/>
                <w:highlight w:val="none"/>
              </w:rPr>
              <w:t>按进度参与各种活动；</w:t>
            </w: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仿宋_GB2312" w:hAnsi="宋体" w:eastAsia="仿宋_GB2312" w:cs="Times New Roman"/>
                <w:kern w:val="2"/>
                <w:sz w:val="24"/>
                <w:szCs w:val="24"/>
                <w:highlight w:val="none"/>
              </w:rPr>
              <w:t>㈡</w:t>
            </w:r>
            <w:r>
              <w:rPr>
                <w:rFonts w:hint="eastAsia" w:ascii="仿宋_GB2312" w:hAnsi="Times New Roman" w:eastAsia="仿宋_GB2312" w:cs="Times New Roman"/>
                <w:kern w:val="2"/>
                <w:sz w:val="24"/>
                <w:szCs w:val="24"/>
                <w:highlight w:val="none"/>
              </w:rPr>
              <w:t>对合同实施质量跟踪与检查；</w:t>
            </w: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仿宋_GB2312" w:hAnsi="宋体" w:eastAsia="仿宋_GB2312" w:cs="Times New Roman"/>
                <w:kern w:val="2"/>
                <w:sz w:val="24"/>
                <w:szCs w:val="24"/>
                <w:highlight w:val="none"/>
              </w:rPr>
              <w:t>㈢</w:t>
            </w:r>
            <w:r>
              <w:rPr>
                <w:rFonts w:hint="eastAsia" w:ascii="仿宋_GB2312" w:hAnsi="Times New Roman" w:eastAsia="仿宋_GB2312" w:cs="Times New Roman"/>
                <w:kern w:val="2"/>
                <w:sz w:val="24"/>
                <w:szCs w:val="24"/>
                <w:highlight w:val="none"/>
              </w:rPr>
              <w:t>组织合同验收；</w:t>
            </w: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仿宋_GB2312" w:hAnsi="宋体" w:eastAsia="仿宋_GB2312" w:cs="Times New Roman"/>
                <w:kern w:val="2"/>
                <w:sz w:val="24"/>
                <w:szCs w:val="24"/>
                <w:highlight w:val="none"/>
              </w:rPr>
              <w:t>㈣</w:t>
            </w:r>
            <w:r>
              <w:rPr>
                <w:rFonts w:hint="eastAsia" w:ascii="仿宋_GB2312" w:hAnsi="Times New Roman" w:eastAsia="仿宋_GB2312" w:cs="Times New Roman"/>
                <w:kern w:val="2"/>
                <w:sz w:val="24"/>
                <w:szCs w:val="24"/>
                <w:highlight w:val="none"/>
              </w:rPr>
              <w:t>按照合同进度向乙方拨付研究经费；</w:t>
            </w: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仿宋_GB2312" w:hAnsi="宋体" w:eastAsia="仿宋_GB2312" w:cs="Times New Roman"/>
                <w:kern w:val="2"/>
                <w:sz w:val="24"/>
                <w:szCs w:val="24"/>
                <w:highlight w:val="none"/>
              </w:rPr>
              <w:t>㈤</w:t>
            </w:r>
            <w:r>
              <w:rPr>
                <w:rFonts w:hint="eastAsia" w:ascii="仿宋_GB2312" w:hAnsi="Times New Roman" w:eastAsia="仿宋_GB2312" w:cs="Times New Roman"/>
                <w:kern w:val="2"/>
                <w:sz w:val="24"/>
                <w:szCs w:val="24"/>
                <w:highlight w:val="none"/>
              </w:rPr>
              <w:t>实施过程中为乙方提供必要的协助和指导；</w:t>
            </w:r>
          </w:p>
          <w:p>
            <w:pPr>
              <w:widowControl/>
              <w:spacing w:after="160" w:line="259" w:lineRule="auto"/>
              <w:textAlignment w:val="baseline"/>
              <w:rPr>
                <w:rFonts w:ascii="仿宋_GB2312" w:hAnsi="Times New Roman" w:eastAsia="仿宋_GB2312" w:cs="Times New Roman"/>
                <w:b/>
                <w:kern w:val="2"/>
                <w:sz w:val="24"/>
                <w:szCs w:val="24"/>
                <w:highlight w:val="none"/>
              </w:rPr>
            </w:pPr>
            <w:r>
              <w:rPr>
                <w:rFonts w:hint="eastAsia" w:ascii="仿宋_GB2312" w:hAnsi="宋体" w:eastAsia="仿宋_GB2312" w:cs="Times New Roman"/>
                <w:kern w:val="2"/>
                <w:sz w:val="24"/>
                <w:szCs w:val="24"/>
                <w:highlight w:val="none"/>
              </w:rPr>
              <w:t>㈥</w:t>
            </w:r>
            <w:r>
              <w:rPr>
                <w:rFonts w:hint="eastAsia" w:ascii="仿宋_GB2312" w:hAnsi="Times New Roman" w:eastAsia="仿宋_GB2312" w:cs="Times New Roman"/>
                <w:kern w:val="2"/>
                <w:sz w:val="24"/>
                <w:szCs w:val="24"/>
                <w:highlight w:val="none"/>
              </w:rPr>
              <w:t>严格遵守双方在合同中明确的事项。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adjustRightInd w:val="0"/>
              <w:spacing w:after="160" w:line="259" w:lineRule="auto"/>
              <w:jc w:val="left"/>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十一、乙方的权利和义务</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㈠按照合同约定开展加工（服务）工作；</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㈡为保障本采购任务更顺利的开展，本采购任务的负责人和主要成员一经确定，乙方不得随意变更。</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㈢按照合同约定配合甲方完成各种活动；</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㈣积极配合甲方组织的合同验收并提交完整的验收材料；</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㈤按照合同进度向甲方提出付款申请，并按甲方要求提供合规发票；</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㈥本合同研究获得的技术成果在未经得甲方同意的情况下乙方不得交流和扩散；</w:t>
            </w:r>
          </w:p>
          <w:p>
            <w:pPr>
              <w:widowControl/>
              <w:autoSpaceDE w:val="0"/>
              <w:autoSpaceDN w:val="0"/>
              <w:adjustRightInd w:val="0"/>
              <w:spacing w:after="160" w:line="259" w:lineRule="auto"/>
              <w:jc w:val="left"/>
              <w:textAlignment w:val="baseline"/>
              <w:rPr>
                <w:rFonts w:ascii="仿宋_GB2312" w:hAnsi="宋体"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㈦严格遵守双方在合同中明确的事项。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adjustRightInd w:val="0"/>
              <w:spacing w:after="160" w:line="259" w:lineRule="auto"/>
              <w:jc w:val="left"/>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十二、保密、安全、质量及廉政条款</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㈠甲、乙双方应严格执行有关的保密、安全、质量及廉政要求；</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㈡乙方作为保密、安全、质量的责任主体，对采购任务的保密、安全、质量负责；</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㈢乙方及乙方所有工作人员不得把甲方的技术资料和最终成果以及在签订或履行本合同过程中所接触的所有甲方相关信息提供给第三方；未征得甲方书面同意，乙方也不得将报告成果用于宣传；</w:t>
            </w:r>
          </w:p>
          <w:p>
            <w:pPr>
              <w:widowControl/>
              <w:spacing w:after="160" w:line="259" w:lineRule="auto"/>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㈣</w:t>
            </w:r>
            <w:r>
              <w:rPr>
                <w:rFonts w:hint="eastAsia" w:ascii="仿宋_GB2312" w:hAnsi="宋体" w:eastAsia="仿宋_GB2312" w:cs="Times New Roman"/>
                <w:kern w:val="2"/>
                <w:sz w:val="24"/>
                <w:szCs w:val="24"/>
                <w:highlight w:val="none"/>
              </w:rPr>
              <w:t>乙方应对合同涉及工作内容进行安全、环保技术交底，明确相关技术、服务等存在的职业健康、安全、环保危害因素，并明确法律法规或相关技术规范要求的危害限值水平、以及切实可行的危害因素控制措施。乙方负责本合同实施及交付过程中的安全责任，并对物资（服务）交付后涉及到的安全、环保事项进行技术交底和必要的培训指导。</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ascii="仿宋_GB2312" w:hAnsi="Times New Roman" w:eastAsia="仿宋_GB2312" w:cs="Times New Roman"/>
                <w:kern w:val="2"/>
                <w:sz w:val="24"/>
                <w:szCs w:val="24"/>
                <w:highlight w:val="none"/>
              </w:rPr>
              <w:fldChar w:fldCharType="begin"/>
            </w:r>
            <w:r>
              <w:rPr>
                <w:rFonts w:ascii="仿宋_GB2312" w:hAnsi="Times New Roman" w:eastAsia="仿宋_GB2312" w:cs="Times New Roman"/>
                <w:kern w:val="2"/>
                <w:sz w:val="24"/>
                <w:szCs w:val="24"/>
                <w:highlight w:val="none"/>
              </w:rPr>
              <w:instrText xml:space="preserve"> </w:instrText>
            </w:r>
            <w:r>
              <w:rPr>
                <w:rFonts w:hint="eastAsia" w:ascii="仿宋_GB2312" w:hAnsi="Times New Roman" w:eastAsia="仿宋_GB2312" w:cs="Times New Roman"/>
                <w:kern w:val="2"/>
                <w:sz w:val="24"/>
                <w:szCs w:val="24"/>
                <w:highlight w:val="none"/>
              </w:rPr>
              <w:instrText xml:space="preserve">= 5 \* GB4</w:instrText>
            </w:r>
            <w:r>
              <w:rPr>
                <w:rFonts w:ascii="仿宋_GB2312" w:hAnsi="Times New Roman" w:eastAsia="仿宋_GB2312" w:cs="Times New Roman"/>
                <w:kern w:val="2"/>
                <w:sz w:val="24"/>
                <w:szCs w:val="24"/>
                <w:highlight w:val="none"/>
              </w:rPr>
              <w:instrText xml:space="preserve"> </w:instrText>
            </w:r>
            <w:r>
              <w:rPr>
                <w:rFonts w:ascii="仿宋_GB2312" w:hAnsi="Times New Roman" w:eastAsia="仿宋_GB2312" w:cs="Times New Roman"/>
                <w:kern w:val="2"/>
                <w:sz w:val="24"/>
                <w:szCs w:val="24"/>
                <w:highlight w:val="none"/>
              </w:rPr>
              <w:fldChar w:fldCharType="separate"/>
            </w:r>
            <w:r>
              <w:rPr>
                <w:rFonts w:hint="eastAsia" w:ascii="仿宋_GB2312" w:hAnsi="Times New Roman" w:eastAsia="仿宋_GB2312" w:cs="Times New Roman"/>
                <w:kern w:val="2"/>
                <w:sz w:val="24"/>
                <w:szCs w:val="24"/>
                <w:highlight w:val="none"/>
              </w:rPr>
              <w:t>㈤</w:t>
            </w:r>
            <w:r>
              <w:rPr>
                <w:rFonts w:ascii="仿宋_GB2312" w:hAnsi="Times New Roman" w:eastAsia="仿宋_GB2312" w:cs="Times New Roman"/>
                <w:kern w:val="2"/>
                <w:sz w:val="24"/>
                <w:szCs w:val="24"/>
                <w:highlight w:val="none"/>
              </w:rPr>
              <w:fldChar w:fldCharType="end"/>
            </w:r>
            <w:r>
              <w:rPr>
                <w:rFonts w:hint="eastAsia" w:ascii="仿宋_GB2312" w:hAnsi="Times New Roman" w:eastAsia="仿宋_GB2312" w:cs="Times New Roman"/>
                <w:kern w:val="2"/>
                <w:sz w:val="24"/>
                <w:szCs w:val="24"/>
                <w:highlight w:val="none"/>
              </w:rPr>
              <w:t>如有违反上述约定，甲方有权解除本合同且不承担任何违约责任。乙方应承担本合同总额</w:t>
            </w:r>
            <w:r>
              <w:rPr>
                <w:rFonts w:hint="eastAsia" w:ascii="宋体" w:hAnsi="宋体" w:eastAsia="宋体"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u w:val="single"/>
              </w:rPr>
              <w:t xml:space="preserve">10 </w:t>
            </w:r>
            <w:r>
              <w:rPr>
                <w:rFonts w:hint="eastAsia" w:ascii="仿宋_GB2312" w:hAnsi="Times New Roman" w:eastAsia="仿宋_GB2312" w:cs="Times New Roman"/>
                <w:kern w:val="2"/>
                <w:sz w:val="24"/>
                <w:szCs w:val="24"/>
                <w:highlight w:val="none"/>
              </w:rPr>
              <w:t>%作为违约金，若此违约金不足以弥补甲方因此造成的损失的，乙方应赔偿实际损失（该损失包括但不限于赔偿款、乙方因此获得的收益、律师费、诉讼费等）；</w:t>
            </w:r>
          </w:p>
          <w:p>
            <w:pPr>
              <w:widowControl/>
              <w:autoSpaceDE w:val="0"/>
              <w:autoSpaceDN w:val="0"/>
              <w:adjustRightInd w:val="0"/>
              <w:spacing w:after="160" w:line="259" w:lineRule="auto"/>
              <w:jc w:val="left"/>
              <w:textAlignment w:val="baseline"/>
              <w:rPr>
                <w:rFonts w:ascii="仿宋_GB2312" w:hAnsi="Times New Roman" w:eastAsia="仿宋_GB2312" w:cs="Times New Roman"/>
                <w:b/>
                <w:kern w:val="2"/>
                <w:sz w:val="24"/>
                <w:szCs w:val="24"/>
                <w:highlight w:val="none"/>
              </w:rPr>
            </w:pPr>
            <w:r>
              <w:rPr>
                <w:rFonts w:ascii="仿宋_GB2312" w:hAnsi="Times New Roman" w:eastAsia="仿宋_GB2312" w:cs="Times New Roman"/>
                <w:kern w:val="2"/>
                <w:sz w:val="24"/>
                <w:szCs w:val="24"/>
                <w:highlight w:val="none"/>
              </w:rPr>
              <w:fldChar w:fldCharType="begin"/>
            </w:r>
            <w:r>
              <w:rPr>
                <w:rFonts w:ascii="仿宋_GB2312" w:hAnsi="Times New Roman" w:eastAsia="仿宋_GB2312" w:cs="Times New Roman"/>
                <w:kern w:val="2"/>
                <w:sz w:val="24"/>
                <w:szCs w:val="24"/>
                <w:highlight w:val="none"/>
              </w:rPr>
              <w:instrText xml:space="preserve"> </w:instrText>
            </w:r>
            <w:r>
              <w:rPr>
                <w:rFonts w:hint="eastAsia" w:ascii="仿宋_GB2312" w:hAnsi="Times New Roman" w:eastAsia="仿宋_GB2312" w:cs="Times New Roman"/>
                <w:kern w:val="2"/>
                <w:sz w:val="24"/>
                <w:szCs w:val="24"/>
                <w:highlight w:val="none"/>
              </w:rPr>
              <w:instrText xml:space="preserve">= 6 \* GB4</w:instrText>
            </w:r>
            <w:r>
              <w:rPr>
                <w:rFonts w:ascii="仿宋_GB2312" w:hAnsi="Times New Roman" w:eastAsia="仿宋_GB2312" w:cs="Times New Roman"/>
                <w:kern w:val="2"/>
                <w:sz w:val="24"/>
                <w:szCs w:val="24"/>
                <w:highlight w:val="none"/>
              </w:rPr>
              <w:instrText xml:space="preserve"> </w:instrText>
            </w:r>
            <w:r>
              <w:rPr>
                <w:rFonts w:ascii="仿宋_GB2312" w:hAnsi="Times New Roman" w:eastAsia="仿宋_GB2312" w:cs="Times New Roman"/>
                <w:kern w:val="2"/>
                <w:sz w:val="24"/>
                <w:szCs w:val="24"/>
                <w:highlight w:val="none"/>
              </w:rPr>
              <w:fldChar w:fldCharType="separate"/>
            </w:r>
            <w:r>
              <w:rPr>
                <w:rFonts w:hint="eastAsia" w:ascii="仿宋_GB2312" w:hAnsi="Times New Roman" w:eastAsia="仿宋_GB2312" w:cs="Times New Roman"/>
                <w:kern w:val="2"/>
                <w:sz w:val="24"/>
                <w:szCs w:val="24"/>
                <w:highlight w:val="none"/>
              </w:rPr>
              <w:t>㈥</w:t>
            </w:r>
            <w:r>
              <w:rPr>
                <w:rFonts w:ascii="仿宋_GB2312" w:hAnsi="Times New Roman" w:eastAsia="仿宋_GB2312" w:cs="Times New Roman"/>
                <w:kern w:val="2"/>
                <w:sz w:val="24"/>
                <w:szCs w:val="24"/>
                <w:highlight w:val="none"/>
              </w:rPr>
              <w:fldChar w:fldCharType="end"/>
            </w:r>
            <w:r>
              <w:rPr>
                <w:rFonts w:hint="eastAsia" w:ascii="仿宋_GB2312" w:hAnsi="Times New Roman" w:eastAsia="仿宋_GB2312" w:cs="Times New Roman"/>
                <w:kern w:val="2"/>
                <w:sz w:val="24"/>
                <w:szCs w:val="24"/>
                <w:highlight w:val="none"/>
              </w:rPr>
              <w:t>如果乙方原因造成泄密或违反国家保密规定的，乙方需要承担相应的责任。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adjustRightInd w:val="0"/>
              <w:spacing w:after="160" w:line="259" w:lineRule="auto"/>
              <w:jc w:val="left"/>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十三、风险责任的承担以及争议的解决方法</w:t>
            </w:r>
          </w:p>
          <w:p>
            <w:pPr>
              <w:numPr>
                <w:ilvl w:val="0"/>
                <w:numId w:val="31"/>
              </w:numPr>
              <w:autoSpaceDE w:val="0"/>
              <w:autoSpaceDN w:val="0"/>
              <w:adjustRightInd w:val="0"/>
              <w:spacing w:after="160" w:line="259" w:lineRule="auto"/>
              <w:ind w:left="360" w:hanging="360" w:firstLineChars="0"/>
              <w:jc w:val="left"/>
              <w:textAlignment w:val="baseline"/>
              <w:rPr>
                <w:rFonts w:ascii="仿宋_GB2312" w:hAnsi="Calibri" w:eastAsia="仿宋_GB2312" w:cs="Times New Roman"/>
                <w:kern w:val="2"/>
                <w:sz w:val="24"/>
                <w:szCs w:val="24"/>
                <w:highlight w:val="none"/>
                <w:lang w:val="en-US" w:eastAsia="zh-CN" w:bidi="ar-SA"/>
              </w:rPr>
            </w:pPr>
            <w:r>
              <w:rPr>
                <w:rFonts w:hint="eastAsia" w:ascii="仿宋_GB2312" w:hAnsi="Calibri" w:eastAsia="仿宋_GB2312" w:cs="Times New Roman"/>
                <w:kern w:val="2"/>
                <w:sz w:val="24"/>
                <w:szCs w:val="24"/>
                <w:highlight w:val="none"/>
                <w:lang w:val="en-US" w:eastAsia="zh-CN" w:bidi="ar-SA"/>
              </w:rPr>
              <w:t>乙方无正当原因未履行合同时，甲方有权停拨、追缴部分或者全部经费；</w:t>
            </w:r>
          </w:p>
          <w:p>
            <w:pPr>
              <w:widowControl/>
              <w:autoSpaceDE w:val="0"/>
              <w:autoSpaceDN w:val="0"/>
              <w:adjustRightInd w:val="0"/>
              <w:spacing w:after="160" w:line="259" w:lineRule="auto"/>
              <w:jc w:val="left"/>
              <w:textAlignment w:val="baseline"/>
              <w:rPr>
                <w:rFonts w:ascii="仿宋_GB2312" w:hAnsi="宋体" w:eastAsia="仿宋_GB2312" w:cs="Times New Roman"/>
                <w:kern w:val="2"/>
                <w:sz w:val="24"/>
                <w:szCs w:val="24"/>
                <w:highlight w:val="none"/>
              </w:rPr>
            </w:pPr>
            <w:r>
              <w:rPr>
                <w:rFonts w:hint="eastAsia" w:ascii="仿宋_GB2312" w:hAnsi="宋体" w:eastAsia="仿宋_GB2312" w:cs="Times New Roman"/>
                <w:kern w:val="2"/>
                <w:sz w:val="24"/>
                <w:szCs w:val="24"/>
                <w:highlight w:val="none"/>
              </w:rPr>
              <w:t>㈡因乙方原因，乙方提交的工作成果经验收不符合甲方要求或本合同约定的技术标准或验收标准的，由乙方进行整改、修复，任务完成期限不做顺延。若乙方经一次整改或修复后提交的工作成果仍不符合甲方要求或本合同约定的，甲方有权解除本合同，乙方应在甲方发送合同解决通知后五日内退回全部已收取的费用，并向甲方支付本合同金额</w:t>
            </w:r>
            <w:r>
              <w:rPr>
                <w:rFonts w:ascii="仿宋_GB2312" w:hAnsi="宋体" w:eastAsia="仿宋_GB2312" w:cs="Times New Roman"/>
                <w:kern w:val="2"/>
                <w:sz w:val="24"/>
                <w:szCs w:val="24"/>
                <w:highlight w:val="none"/>
                <w:u w:val="single"/>
              </w:rPr>
              <w:t xml:space="preserve"> </w:t>
            </w:r>
            <w:r>
              <w:rPr>
                <w:rFonts w:hint="eastAsia" w:ascii="仿宋_GB2312" w:hAnsi="宋体" w:eastAsia="仿宋_GB2312" w:cs="Times New Roman"/>
                <w:kern w:val="2"/>
                <w:sz w:val="24"/>
                <w:szCs w:val="24"/>
                <w:highlight w:val="none"/>
                <w:u w:val="single"/>
              </w:rPr>
              <w:t>1</w:t>
            </w:r>
            <w:r>
              <w:rPr>
                <w:rFonts w:ascii="仿宋_GB2312" w:hAnsi="宋体" w:eastAsia="仿宋_GB2312" w:cs="Times New Roman"/>
                <w:kern w:val="2"/>
                <w:sz w:val="24"/>
                <w:szCs w:val="24"/>
                <w:highlight w:val="none"/>
                <w:u w:val="single"/>
              </w:rPr>
              <w:t>0</w:t>
            </w:r>
            <w:r>
              <w:rPr>
                <w:rFonts w:ascii="仿宋_GB2312" w:hAnsi="宋体" w:eastAsia="仿宋_GB2312" w:cs="Times New Roman"/>
                <w:kern w:val="2"/>
                <w:sz w:val="24"/>
                <w:szCs w:val="24"/>
                <w:highlight w:val="none"/>
              </w:rPr>
              <w:t>%</w:t>
            </w:r>
            <w:r>
              <w:rPr>
                <w:rFonts w:hint="eastAsia" w:ascii="仿宋_GB2312" w:hAnsi="宋体" w:eastAsia="仿宋_GB2312" w:cs="Times New Roman"/>
                <w:kern w:val="2"/>
                <w:sz w:val="24"/>
                <w:szCs w:val="24"/>
                <w:highlight w:val="none"/>
              </w:rPr>
              <w:t>的违约金；</w:t>
            </w:r>
          </w:p>
          <w:p>
            <w:pPr>
              <w:numPr>
                <w:ilvl w:val="0"/>
                <w:numId w:val="31"/>
              </w:numPr>
              <w:autoSpaceDE w:val="0"/>
              <w:autoSpaceDN w:val="0"/>
              <w:adjustRightInd w:val="0"/>
              <w:spacing w:after="160" w:line="259" w:lineRule="auto"/>
              <w:ind w:left="360" w:hanging="360" w:firstLineChars="0"/>
              <w:jc w:val="left"/>
              <w:textAlignment w:val="baseline"/>
              <w:rPr>
                <w:rFonts w:ascii="仿宋_GB2312" w:hAnsi="宋体" w:eastAsia="仿宋_GB2312" w:cs="Times New Roman"/>
                <w:kern w:val="2"/>
                <w:sz w:val="24"/>
                <w:szCs w:val="24"/>
                <w:highlight w:val="none"/>
                <w:lang w:val="en-US" w:eastAsia="zh-CN" w:bidi="ar-SA"/>
              </w:rPr>
            </w:pPr>
            <w:r>
              <w:rPr>
                <w:rFonts w:hint="eastAsia" w:ascii="仿宋_GB2312" w:hAnsi="宋体" w:eastAsia="仿宋_GB2312" w:cs="Times New Roman"/>
                <w:kern w:val="2"/>
                <w:sz w:val="24"/>
                <w:szCs w:val="24"/>
                <w:highlight w:val="none"/>
                <w:lang w:val="en-US" w:eastAsia="zh-CN" w:bidi="ar-SA"/>
              </w:rPr>
              <w:t>乙方逾期提交工作成果的，每逾期一天应向甲方支付本合同金额</w:t>
            </w:r>
            <w:r>
              <w:rPr>
                <w:rFonts w:hint="eastAsia" w:ascii="仿宋_GB2312" w:hAnsi="宋体" w:eastAsia="仿宋_GB2312" w:cs="Times New Roman"/>
                <w:kern w:val="2"/>
                <w:sz w:val="24"/>
                <w:szCs w:val="24"/>
                <w:highlight w:val="none"/>
                <w:u w:val="single"/>
                <w:lang w:val="en-US" w:eastAsia="zh-CN" w:bidi="ar-SA"/>
              </w:rPr>
              <w:t xml:space="preserve"> 0.1%</w:t>
            </w:r>
            <w:r>
              <w:rPr>
                <w:rFonts w:hint="eastAsia" w:ascii="仿宋_GB2312" w:hAnsi="宋体" w:eastAsia="仿宋_GB2312" w:cs="Times New Roman"/>
                <w:kern w:val="2"/>
                <w:sz w:val="24"/>
                <w:szCs w:val="24"/>
                <w:highlight w:val="none"/>
                <w:lang w:val="en-US" w:eastAsia="zh-CN" w:bidi="ar-SA"/>
              </w:rPr>
              <w:t>的违约金，逾期超</w:t>
            </w:r>
            <w:r>
              <w:rPr>
                <w:rFonts w:hint="eastAsia" w:ascii="仿宋_GB2312" w:hAnsi="宋体" w:eastAsia="仿宋_GB2312" w:cs="Times New Roman"/>
                <w:kern w:val="2"/>
                <w:sz w:val="24"/>
                <w:szCs w:val="24"/>
                <w:highlight w:val="none"/>
                <w:u w:val="single"/>
                <w:lang w:val="en-US" w:eastAsia="zh-CN" w:bidi="ar-SA"/>
              </w:rPr>
              <w:t xml:space="preserve"> 60 </w:t>
            </w:r>
            <w:r>
              <w:rPr>
                <w:rFonts w:hint="eastAsia" w:ascii="仿宋_GB2312" w:hAnsi="宋体" w:eastAsia="仿宋_GB2312" w:cs="Times New Roman"/>
                <w:kern w:val="2"/>
                <w:sz w:val="24"/>
                <w:szCs w:val="24"/>
                <w:highlight w:val="none"/>
                <w:lang w:val="en-US" w:eastAsia="zh-CN" w:bidi="ar-SA"/>
              </w:rPr>
              <w:t>天的，甲方有权解除本合同，乙方应在甲方发送解除通知后的五日内，退还已收取的全部费用；</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宋体" w:eastAsia="仿宋_GB2312" w:cs="Times New Roman"/>
                <w:kern w:val="2"/>
                <w:sz w:val="24"/>
                <w:szCs w:val="24"/>
                <w:highlight w:val="none"/>
              </w:rPr>
              <w:t>㈣乙方支付违约金不足以弥补甲方损失（该损失包括律师费、诉讼费、公证费等）的，不足部分，乙方还应承担赔偿责任；</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宋体" w:eastAsia="仿宋_GB2312" w:cs="Times New Roman"/>
                <w:kern w:val="2"/>
                <w:sz w:val="24"/>
                <w:szCs w:val="24"/>
                <w:highlight w:val="none"/>
              </w:rPr>
              <w:t>㈤</w:t>
            </w:r>
            <w:r>
              <w:rPr>
                <w:rFonts w:hint="eastAsia" w:ascii="仿宋_GB2312" w:hAnsi="Times New Roman" w:eastAsia="仿宋_GB2312" w:cs="Times New Roman"/>
                <w:kern w:val="2"/>
                <w:sz w:val="24"/>
                <w:szCs w:val="24"/>
                <w:highlight w:val="none"/>
              </w:rPr>
              <w:t>在本合同履行过程中，非不可抗拒原因导致合同不能正常履行，责任方应向对方赔偿经济损失；</w:t>
            </w:r>
          </w:p>
          <w:p>
            <w:pPr>
              <w:widowControl/>
              <w:autoSpaceDE w:val="0"/>
              <w:autoSpaceDN w:val="0"/>
              <w:adjustRightInd w:val="0"/>
              <w:spacing w:after="160" w:line="259" w:lineRule="auto"/>
              <w:jc w:val="left"/>
              <w:textAlignment w:val="baseline"/>
              <w:rPr>
                <w:rFonts w:hint="eastAsia" w:ascii="仿宋_GB2312" w:hAnsi="Times New Roman" w:eastAsia="仿宋_GB2312" w:cs="Times New Roman"/>
                <w:kern w:val="2"/>
                <w:sz w:val="24"/>
                <w:szCs w:val="24"/>
                <w:highlight w:val="none"/>
              </w:rPr>
            </w:pPr>
            <w:r>
              <w:rPr>
                <w:rFonts w:hint="eastAsia" w:ascii="仿宋_GB2312" w:hAnsi="宋体" w:eastAsia="仿宋_GB2312" w:cs="Times New Roman"/>
                <w:kern w:val="2"/>
                <w:sz w:val="24"/>
                <w:szCs w:val="24"/>
                <w:highlight w:val="none"/>
              </w:rPr>
              <w:t>㈥</w:t>
            </w:r>
            <w:r>
              <w:rPr>
                <w:rFonts w:hint="eastAsia" w:ascii="仿宋_GB2312" w:hAnsi="Times New Roman" w:eastAsia="仿宋_GB2312" w:cs="Times New Roman"/>
                <w:kern w:val="2"/>
                <w:sz w:val="24"/>
                <w:szCs w:val="24"/>
                <w:highlight w:val="none"/>
              </w:rPr>
              <w:t>若合同的一方由于不可抗拒的原因，如战争、水灾、台风、地震、禁令和政府的法令及其它双方认可的不可抗拒情况等原因的影响不能正常执行合同，则合同应顺延执行或终止。受阻方应尽快将发生的不可抗力事件情况以电报、电传或电话等形式通知另一方，并在一月内通过权威部门开具不可抗拒的证明；</w:t>
            </w:r>
          </w:p>
          <w:p>
            <w:pPr>
              <w:spacing w:after="120" w:line="259" w:lineRule="auto"/>
              <w:jc w:val="both"/>
              <w:textAlignment w:val="baseline"/>
              <w:rPr>
                <w:rFonts w:hint="eastAsia"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㈦甲方逾期付款的，应按照中国人民银行有关延期付款的规定向乙方偿付逾期付款的违约金。</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㈧甲乙双方协商沟通后同意解除本次委托的，可终止合同；</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㈨凡本合同之外未明确的相关事宜，由甲乙双方协商解决；</w:t>
            </w:r>
          </w:p>
          <w:p>
            <w:pPr>
              <w:widowControl/>
              <w:autoSpaceDE w:val="0"/>
              <w:autoSpaceDN w:val="0"/>
              <w:adjustRightInd w:val="0"/>
              <w:spacing w:after="160" w:line="259" w:lineRule="auto"/>
              <w:jc w:val="left"/>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kern w:val="2"/>
                <w:sz w:val="24"/>
                <w:szCs w:val="24"/>
                <w:highlight w:val="none"/>
              </w:rPr>
              <w:t>㈩因本合同引发的争议，双方应友好协商解决，协商无果，按照《中华人民共和国民法典》有关条款执行，直至向甲方所在地人民法院提起诉讼。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6" w:hRule="atLeast"/>
        </w:trPr>
        <w:tc>
          <w:tcPr>
            <w:tcW w:w="8931" w:type="dxa"/>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adjustRightInd w:val="0"/>
              <w:spacing w:after="160" w:line="259" w:lineRule="auto"/>
              <w:jc w:val="left"/>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十四、附带条件和需要说明的问题</w:t>
            </w:r>
          </w:p>
          <w:p>
            <w:pPr>
              <w:widowControl/>
              <w:autoSpaceDE w:val="0"/>
              <w:autoSpaceDN w:val="0"/>
              <w:adjustRightInd w:val="0"/>
              <w:spacing w:after="160" w:line="259" w:lineRule="auto"/>
              <w:jc w:val="left"/>
              <w:textAlignment w:val="baseline"/>
              <w:rPr>
                <w:rFonts w:hint="eastAsia" w:ascii="仿宋_GB2312" w:hAnsi="Times New Roman" w:eastAsia="仿宋_GB2312" w:cs="Times New Roman"/>
                <w:kern w:val="2"/>
                <w:sz w:val="24"/>
                <w:szCs w:val="24"/>
                <w:highlight w:val="none"/>
              </w:rPr>
            </w:pPr>
            <w:r>
              <w:rPr>
                <w:rFonts w:ascii="仿宋_GB2312" w:hAnsi="Times New Roman" w:eastAsia="仿宋_GB2312" w:cs="Times New Roman"/>
                <w:kern w:val="2"/>
                <w:sz w:val="24"/>
                <w:szCs w:val="24"/>
                <w:highlight w:val="none"/>
              </w:rPr>
              <w:t>1.</w:t>
            </w:r>
            <w:r>
              <w:rPr>
                <w:rFonts w:hint="eastAsia" w:ascii="仿宋_GB2312" w:hAnsi="Times New Roman" w:eastAsia="仿宋_GB2312" w:cs="Times New Roman"/>
                <w:kern w:val="2"/>
                <w:sz w:val="24"/>
                <w:szCs w:val="24"/>
                <w:highlight w:val="none"/>
              </w:rPr>
              <w:t>乙方对质量负责的条件和期限及售后服务的承诺：</w:t>
            </w:r>
          </w:p>
          <w:p>
            <w:pPr>
              <w:widowControl/>
              <w:autoSpaceDE w:val="0"/>
              <w:autoSpaceDN w:val="0"/>
              <w:adjustRightInd w:val="0"/>
              <w:spacing w:after="160" w:line="259" w:lineRule="auto"/>
              <w:jc w:val="left"/>
              <w:textAlignment w:val="baseline"/>
              <w:rPr>
                <w:rFonts w:hint="eastAsia" w:ascii="仿宋_GB2312" w:hAnsi="Times New Roman" w:eastAsia="仿宋_GB2312" w:cs="Times New Roman"/>
                <w:kern w:val="2"/>
                <w:sz w:val="24"/>
                <w:szCs w:val="24"/>
                <w:highlight w:val="none"/>
              </w:rPr>
            </w:pPr>
            <w:r>
              <w:rPr>
                <w:rFonts w:ascii="仿宋_GB2312" w:hAnsi="Times New Roman" w:eastAsia="仿宋_GB2312" w:cs="Times New Roman"/>
                <w:kern w:val="2"/>
                <w:sz w:val="24"/>
                <w:szCs w:val="24"/>
                <w:highlight w:val="none"/>
              </w:rPr>
              <w:t>1</w:t>
            </w:r>
            <w:r>
              <w:rPr>
                <w:rFonts w:hint="eastAsia" w:ascii="仿宋_GB2312" w:hAnsi="Times New Roman" w:eastAsia="仿宋_GB2312" w:cs="Times New Roman"/>
                <w:kern w:val="2"/>
                <w:sz w:val="24"/>
                <w:szCs w:val="24"/>
                <w:highlight w:val="none"/>
              </w:rPr>
              <w:t>.1 产品在甲方现场验收合格之日起，乙方对产品保修xx个月（根据响应文件确定）。</w:t>
            </w:r>
          </w:p>
          <w:p>
            <w:pPr>
              <w:widowControl/>
              <w:autoSpaceDE w:val="0"/>
              <w:autoSpaceDN w:val="0"/>
              <w:adjustRightInd w:val="0"/>
              <w:spacing w:after="160" w:line="259" w:lineRule="auto"/>
              <w:jc w:val="left"/>
              <w:textAlignment w:val="baseline"/>
              <w:rPr>
                <w:rFonts w:hint="eastAsia" w:ascii="仿宋_GB2312" w:hAnsi="Times New Roman" w:eastAsia="仿宋_GB2312" w:cs="Times New Roman"/>
                <w:kern w:val="2"/>
                <w:sz w:val="24"/>
                <w:szCs w:val="24"/>
                <w:highlight w:val="none"/>
              </w:rPr>
            </w:pPr>
            <w:r>
              <w:rPr>
                <w:rFonts w:hint="eastAsia" w:ascii="仿宋_GB2312" w:hAnsi="Times New Roman" w:eastAsia="仿宋_GB2312" w:cs="Times New Roman"/>
                <w:kern w:val="2"/>
                <w:sz w:val="24"/>
                <w:szCs w:val="24"/>
                <w:highlight w:val="none"/>
              </w:rPr>
              <w:t>在保修期内产品出现故障，乙方接到甲方通知后必须在8小时内响应，乙方指派技术能力符合要求的工程师，及时进行处理和答复，到现场进行问题解决的时间不应超过48小时内；必要时，乙方先行提供维修或更换用的备件，以及时解决问题，保障甲方系统快速消除故障。</w:t>
            </w:r>
          </w:p>
          <w:p>
            <w:pPr>
              <w:widowControl/>
              <w:autoSpaceDE w:val="0"/>
              <w:autoSpaceDN w:val="0"/>
              <w:adjustRightInd w:val="0"/>
              <w:spacing w:after="160" w:line="259" w:lineRule="auto"/>
              <w:jc w:val="left"/>
              <w:textAlignment w:val="baseline"/>
              <w:rPr>
                <w:rFonts w:ascii="仿宋_GB2312" w:hAnsi="Times New Roman" w:eastAsia="仿宋_GB2312" w:cs="Times New Roman"/>
                <w:b/>
                <w:kern w:val="2"/>
                <w:sz w:val="24"/>
                <w:szCs w:val="24"/>
                <w:highlight w:val="none"/>
              </w:rPr>
            </w:pPr>
            <w:r>
              <w:rPr>
                <w:rFonts w:ascii="仿宋_GB2312" w:hAnsi="Times New Roman" w:eastAsia="仿宋_GB2312" w:cs="Times New Roman"/>
                <w:kern w:val="2"/>
                <w:sz w:val="24"/>
                <w:szCs w:val="24"/>
                <w:highlight w:val="none"/>
              </w:rPr>
              <w:t>1</w:t>
            </w:r>
            <w:r>
              <w:rPr>
                <w:rFonts w:hint="eastAsia" w:ascii="仿宋_GB2312" w:hAnsi="Times New Roman" w:eastAsia="仿宋_GB2312" w:cs="Times New Roman"/>
                <w:kern w:val="2"/>
                <w:sz w:val="24"/>
                <w:szCs w:val="24"/>
                <w:highlight w:val="none"/>
              </w:rPr>
              <w:t>.2 产品保修期外终身有偿维修，乙方响应时间与</w:t>
            </w:r>
            <w:r>
              <w:rPr>
                <w:rFonts w:ascii="仿宋_GB2312" w:hAnsi="Times New Roman" w:eastAsia="仿宋_GB2312" w:cs="Times New Roman"/>
                <w:kern w:val="2"/>
                <w:sz w:val="24"/>
                <w:szCs w:val="24"/>
                <w:highlight w:val="none"/>
              </w:rPr>
              <w:t>1</w:t>
            </w:r>
            <w:r>
              <w:rPr>
                <w:rFonts w:hint="eastAsia" w:ascii="仿宋_GB2312" w:hAnsi="Times New Roman" w:eastAsia="仿宋_GB2312" w:cs="Times New Roman"/>
                <w:kern w:val="2"/>
                <w:sz w:val="24"/>
                <w:szCs w:val="24"/>
                <w:highlight w:val="none"/>
              </w:rPr>
              <w:t>.1条相同，甲方支付产品的配件成本费用及适当的人工费用。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adjustRightInd w:val="0"/>
              <w:spacing w:after="160" w:line="259" w:lineRule="auto"/>
              <w:jc w:val="left"/>
              <w:textAlignment w:val="baseline"/>
              <w:rPr>
                <w:rFonts w:ascii="仿宋_GB2312" w:hAnsi="Times New Roman" w:eastAsia="仿宋_GB2312" w:cs="Times New Roman"/>
                <w:b/>
                <w:kern w:val="2"/>
                <w:sz w:val="24"/>
                <w:szCs w:val="24"/>
                <w:highlight w:val="none"/>
              </w:rPr>
            </w:pPr>
            <w:r>
              <w:rPr>
                <w:rFonts w:hint="eastAsia" w:ascii="仿宋_GB2312" w:hAnsi="Times New Roman" w:eastAsia="仿宋_GB2312" w:cs="Times New Roman"/>
                <w:b/>
                <w:kern w:val="2"/>
                <w:sz w:val="24"/>
                <w:szCs w:val="24"/>
                <w:highlight w:val="none"/>
              </w:rPr>
              <w:t>十五、合同附件与合同生效</w:t>
            </w:r>
          </w:p>
          <w:p>
            <w:pPr>
              <w:numPr>
                <w:ilvl w:val="0"/>
                <w:numId w:val="32"/>
              </w:numPr>
              <w:spacing w:after="160" w:line="259" w:lineRule="auto"/>
              <w:ind w:left="360" w:hanging="360" w:firstLineChars="0"/>
              <w:jc w:val="both"/>
              <w:textAlignment w:val="baseline"/>
              <w:rPr>
                <w:rFonts w:ascii="仿宋_GB2312" w:hAnsi="Calibri" w:eastAsia="仿宋_GB2312" w:cs="Times New Roman"/>
                <w:kern w:val="2"/>
                <w:sz w:val="24"/>
                <w:szCs w:val="24"/>
                <w:highlight w:val="none"/>
                <w:lang w:val="en-US" w:eastAsia="zh-CN" w:bidi="ar-SA"/>
              </w:rPr>
            </w:pPr>
            <w:r>
              <w:rPr>
                <w:rFonts w:hint="eastAsia" w:ascii="仿宋_GB2312" w:hAnsi="Calibri" w:eastAsia="仿宋_GB2312" w:cs="Times New Roman"/>
                <w:kern w:val="2"/>
                <w:sz w:val="24"/>
                <w:szCs w:val="24"/>
                <w:highlight w:val="none"/>
                <w:lang w:val="en-US" w:eastAsia="zh-CN" w:bidi="ar-SA"/>
              </w:rPr>
              <w:t>本合同自双方签字、盖章后生效；</w:t>
            </w:r>
          </w:p>
          <w:p>
            <w:pPr>
              <w:widowControl/>
              <w:autoSpaceDE w:val="0"/>
              <w:autoSpaceDN w:val="0"/>
              <w:adjustRightInd w:val="0"/>
              <w:spacing w:after="160" w:line="259" w:lineRule="auto"/>
              <w:jc w:val="left"/>
              <w:textAlignment w:val="baseline"/>
              <w:rPr>
                <w:rFonts w:ascii="仿宋_GB2312" w:hAnsi="Times New Roman" w:eastAsia="仿宋_GB2312" w:cs="Times New Roman"/>
                <w:kern w:val="2"/>
                <w:sz w:val="24"/>
                <w:szCs w:val="24"/>
                <w:highlight w:val="none"/>
              </w:rPr>
            </w:pPr>
            <w:r>
              <w:rPr>
                <w:rFonts w:hint="eastAsia" w:ascii="仿宋_GB2312" w:hAnsi="宋体" w:eastAsia="仿宋_GB2312" w:cs="Times New Roman"/>
                <w:kern w:val="2"/>
                <w:sz w:val="24"/>
                <w:szCs w:val="24"/>
                <w:highlight w:val="none"/>
              </w:rPr>
              <w:t>㈡</w:t>
            </w:r>
            <w:r>
              <w:rPr>
                <w:rFonts w:hint="eastAsia" w:ascii="仿宋_GB2312" w:hAnsi="Times New Roman" w:eastAsia="仿宋_GB2312" w:cs="Times New Roman"/>
                <w:kern w:val="2"/>
                <w:sz w:val="24"/>
                <w:szCs w:val="24"/>
                <w:highlight w:val="none"/>
              </w:rPr>
              <w:t>本合同正本一式</w:t>
            </w:r>
            <w:r>
              <w:rPr>
                <w:rFonts w:hint="eastAsia" w:ascii="仿宋_GB2312" w:hAnsi="宋体" w:eastAsia="仿宋_GB2312" w:cs="Times New Roman"/>
                <w:kern w:val="2"/>
                <w:sz w:val="24"/>
                <w:szCs w:val="24"/>
                <w:highlight w:val="none"/>
                <w:u w:val="single"/>
              </w:rPr>
              <w:t xml:space="preserve"> 6 </w:t>
            </w:r>
            <w:r>
              <w:rPr>
                <w:rFonts w:hint="eastAsia" w:ascii="仿宋_GB2312" w:hAnsi="Times New Roman" w:eastAsia="仿宋_GB2312" w:cs="Times New Roman"/>
                <w:kern w:val="2"/>
                <w:sz w:val="24"/>
                <w:szCs w:val="24"/>
                <w:highlight w:val="none"/>
              </w:rPr>
              <w:t>份，甲方</w:t>
            </w:r>
            <w:r>
              <w:rPr>
                <w:rFonts w:hint="eastAsia" w:ascii="仿宋_GB2312" w:hAnsi="宋体" w:eastAsia="仿宋_GB2312" w:cs="Times New Roman"/>
                <w:kern w:val="2"/>
                <w:sz w:val="24"/>
                <w:szCs w:val="24"/>
                <w:highlight w:val="none"/>
                <w:u w:val="single"/>
              </w:rPr>
              <w:t xml:space="preserve"> </w:t>
            </w:r>
            <w:r>
              <w:rPr>
                <w:rFonts w:ascii="仿宋_GB2312" w:hAnsi="宋体" w:eastAsia="仿宋_GB2312" w:cs="Times New Roman"/>
                <w:kern w:val="2"/>
                <w:sz w:val="24"/>
                <w:szCs w:val="24"/>
                <w:highlight w:val="none"/>
                <w:u w:val="single"/>
              </w:rPr>
              <w:t>3</w:t>
            </w:r>
            <w:r>
              <w:rPr>
                <w:rFonts w:hint="eastAsia" w:ascii="仿宋_GB2312" w:hAnsi="宋体" w:eastAsia="仿宋_GB2312"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份，乙方</w:t>
            </w:r>
            <w:r>
              <w:rPr>
                <w:rFonts w:hint="eastAsia" w:ascii="仿宋_GB2312" w:hAnsi="宋体" w:eastAsia="仿宋_GB2312" w:cs="Times New Roman"/>
                <w:kern w:val="2"/>
                <w:sz w:val="24"/>
                <w:szCs w:val="24"/>
                <w:highlight w:val="none"/>
                <w:u w:val="single"/>
              </w:rPr>
              <w:t xml:space="preserve"> </w:t>
            </w:r>
            <w:r>
              <w:rPr>
                <w:rFonts w:ascii="仿宋_GB2312" w:hAnsi="宋体" w:eastAsia="仿宋_GB2312" w:cs="Times New Roman"/>
                <w:kern w:val="2"/>
                <w:sz w:val="24"/>
                <w:szCs w:val="24"/>
                <w:highlight w:val="none"/>
                <w:u w:val="single"/>
              </w:rPr>
              <w:t>2</w:t>
            </w:r>
            <w:r>
              <w:rPr>
                <w:rFonts w:hint="eastAsia" w:ascii="仿宋_GB2312" w:hAnsi="宋体" w:eastAsia="仿宋_GB2312" w:cs="Times New Roman"/>
                <w:kern w:val="2"/>
                <w:sz w:val="24"/>
                <w:szCs w:val="24"/>
                <w:highlight w:val="none"/>
                <w:u w:val="single"/>
              </w:rPr>
              <w:t xml:space="preserve"> </w:t>
            </w:r>
            <w:r>
              <w:rPr>
                <w:rFonts w:hint="eastAsia" w:ascii="仿宋_GB2312" w:hAnsi="Times New Roman" w:eastAsia="仿宋_GB2312" w:cs="Times New Roman"/>
                <w:kern w:val="2"/>
                <w:sz w:val="24"/>
                <w:szCs w:val="24"/>
                <w:highlight w:val="none"/>
              </w:rPr>
              <w:t>份，固管中心备案</w:t>
            </w:r>
            <w:r>
              <w:rPr>
                <w:rFonts w:hint="eastAsia" w:ascii="仿宋_GB2312" w:hAnsi="Times New Roman" w:eastAsia="仿宋_GB2312" w:cs="Times New Roman"/>
                <w:kern w:val="2"/>
                <w:sz w:val="24"/>
                <w:szCs w:val="24"/>
                <w:highlight w:val="none"/>
                <w:u w:val="single"/>
              </w:rPr>
              <w:t xml:space="preserve"> 1 </w:t>
            </w:r>
            <w:r>
              <w:rPr>
                <w:rFonts w:hint="eastAsia" w:ascii="仿宋_GB2312" w:hAnsi="Times New Roman" w:eastAsia="仿宋_GB2312" w:cs="Times New Roman"/>
                <w:kern w:val="2"/>
                <w:sz w:val="24"/>
                <w:szCs w:val="24"/>
                <w:highlight w:val="none"/>
              </w:rPr>
              <w:t>份；</w:t>
            </w:r>
          </w:p>
          <w:p>
            <w:pPr>
              <w:widowControl/>
              <w:autoSpaceDE w:val="0"/>
              <w:autoSpaceDN w:val="0"/>
              <w:adjustRightInd w:val="0"/>
              <w:spacing w:after="160" w:line="259" w:lineRule="auto"/>
              <w:jc w:val="left"/>
              <w:textAlignment w:val="baseline"/>
              <w:rPr>
                <w:rFonts w:ascii="仿宋_GB2312" w:hAnsi="Times New Roman" w:eastAsia="仿宋_GB2312" w:cs="Times New Roman"/>
                <w:b/>
                <w:kern w:val="2"/>
                <w:sz w:val="24"/>
                <w:szCs w:val="24"/>
                <w:highlight w:val="none"/>
              </w:rPr>
            </w:pPr>
            <w:r>
              <w:rPr>
                <w:rFonts w:hint="eastAsia" w:ascii="仿宋_GB2312" w:hAnsi="宋体" w:eastAsia="仿宋_GB2312" w:cs="Times New Roman"/>
                <w:kern w:val="2"/>
                <w:sz w:val="24"/>
                <w:szCs w:val="24"/>
                <w:highlight w:val="none"/>
              </w:rPr>
              <w:t>㈢</w:t>
            </w:r>
            <w:r>
              <w:rPr>
                <w:rFonts w:hint="eastAsia" w:ascii="仿宋_GB2312" w:hAnsi="Times New Roman" w:eastAsia="仿宋_GB2312" w:cs="Times New Roman"/>
                <w:kern w:val="2"/>
                <w:sz w:val="24"/>
                <w:szCs w:val="24"/>
                <w:highlight w:val="none"/>
              </w:rPr>
              <w:t>合同未尽事宜由双方友好协商解决，对本合同的补充或修改经双方签字、盖章，与本合同具有同等效力。</w:t>
            </w:r>
          </w:p>
        </w:tc>
      </w:tr>
    </w:tbl>
    <w:p>
      <w:pPr>
        <w:widowControl/>
        <w:spacing w:after="160" w:line="259" w:lineRule="auto"/>
        <w:jc w:val="left"/>
        <w:textAlignment w:val="baseline"/>
        <w:rPr>
          <w:rFonts w:ascii="黑体" w:hAnsi="黑体" w:eastAsia="黑体" w:cs="Times New Roman"/>
          <w:kern w:val="2"/>
          <w:sz w:val="32"/>
          <w:szCs w:val="32"/>
          <w:highlight w:val="none"/>
        </w:rPr>
      </w:pPr>
    </w:p>
    <w:p>
      <w:pPr>
        <w:widowControl/>
        <w:spacing w:after="160" w:line="360" w:lineRule="auto"/>
        <w:textAlignment w:val="baseline"/>
        <w:rPr>
          <w:rFonts w:hint="eastAsia" w:ascii="Times New Roman" w:hAnsi="Times New Roman" w:eastAsia="宋体" w:cs="Times New Roman"/>
          <w:kern w:val="2"/>
          <w:sz w:val="24"/>
          <w:szCs w:val="22"/>
          <w:highlight w:val="none"/>
        </w:rPr>
      </w:pPr>
    </w:p>
    <w:p>
      <w:pPr>
        <w:spacing w:line="360" w:lineRule="auto"/>
        <w:ind w:firstLine="960" w:firstLineChars="400"/>
        <w:rPr>
          <w:rFonts w:ascii="宋体" w:hAnsi="宋体" w:eastAsia="宋体" w:cs="Times New Roman"/>
          <w:color w:val="auto"/>
          <w:sz w:val="24"/>
          <w:szCs w:val="22"/>
          <w:highlight w:val="none"/>
        </w:rPr>
      </w:pPr>
    </w:p>
    <w:p>
      <w:pPr>
        <w:spacing w:line="360" w:lineRule="auto"/>
        <w:rPr>
          <w:rFonts w:ascii="Times New Roman" w:hAnsi="Times New Roman"/>
          <w:color w:val="auto"/>
          <w:sz w:val="24"/>
          <w:szCs w:val="22"/>
          <w:highlight w:val="none"/>
        </w:rPr>
      </w:pPr>
    </w:p>
    <w:sectPr>
      <w:headerReference r:id="rId9" w:type="default"/>
      <w:footerReference r:id="rId10" w:type="default"/>
      <w:pgSz w:w="11906" w:h="16838"/>
      <w:pgMar w:top="680" w:right="1644" w:bottom="1089"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中等线简体 Regular">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PingFang SC">
    <w:altName w:val="宋体"/>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2"/>
      <w:rPr>
        <w:rStyle w:val="50"/>
        <w:rFonts w:eastAsia="宋体"/>
      </w:rPr>
    </w:pPr>
    <w:r>
      <w:fldChar w:fldCharType="begin"/>
    </w:r>
    <w:r>
      <w:rPr>
        <w:rStyle w:val="50"/>
        <w:rFonts w:eastAsia="宋体"/>
      </w:rPr>
      <w:instrText xml:space="preserve">PAGE  </w:instrText>
    </w:r>
    <w:r>
      <w:fldChar w:fldCharType="separate"/>
    </w:r>
    <w:r>
      <w:rPr>
        <w:rStyle w:val="50"/>
        <w:rFonts w:eastAsia="宋体"/>
      </w:rPr>
      <w:t>41</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jc w:val="left"/>
      <w:rPr>
        <w:sz w:val="24"/>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AD27B"/>
    <w:multiLevelType w:val="singleLevel"/>
    <w:tmpl w:val="870AD27B"/>
    <w:lvl w:ilvl="0" w:tentative="0">
      <w:start w:val="1"/>
      <w:numFmt w:val="chineseCounting"/>
      <w:suff w:val="nothing"/>
      <w:lvlText w:val="%1、"/>
      <w:lvlJc w:val="left"/>
      <w:rPr>
        <w:rFonts w:hint="eastAsia"/>
      </w:rPr>
    </w:lvl>
  </w:abstractNum>
  <w:abstractNum w:abstractNumId="1">
    <w:nsid w:val="9C62B697"/>
    <w:multiLevelType w:val="multilevel"/>
    <w:tmpl w:val="9C62B697"/>
    <w:lvl w:ilvl="0" w:tentative="0">
      <w:start w:val="3"/>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CA70FF60"/>
    <w:multiLevelType w:val="singleLevel"/>
    <w:tmpl w:val="CA70FF60"/>
    <w:lvl w:ilvl="0" w:tentative="0">
      <w:start w:val="7"/>
      <w:numFmt w:val="chineseCounting"/>
      <w:suff w:val="space"/>
      <w:lvlText w:val="第%1章"/>
      <w:lvlJc w:val="left"/>
      <w:rPr>
        <w:rFonts w:hint="eastAsia"/>
      </w:rPr>
    </w:lvl>
  </w:abstractNum>
  <w:abstractNum w:abstractNumId="3">
    <w:nsid w:val="DC0BA220"/>
    <w:multiLevelType w:val="singleLevel"/>
    <w:tmpl w:val="DC0BA220"/>
    <w:lvl w:ilvl="0" w:tentative="0">
      <w:start w:val="2"/>
      <w:numFmt w:val="chineseCounting"/>
      <w:suff w:val="nothing"/>
      <w:lvlText w:val="%1、"/>
      <w:lvlJc w:val="left"/>
      <w:rPr>
        <w:rFonts w:hint="eastAsia"/>
      </w:rPr>
    </w:lvl>
  </w:abstractNum>
  <w:abstractNum w:abstractNumId="4">
    <w:nsid w:val="DD485FF9"/>
    <w:multiLevelType w:val="singleLevel"/>
    <w:tmpl w:val="DD485FF9"/>
    <w:lvl w:ilvl="0" w:tentative="0">
      <w:start w:val="30"/>
      <w:numFmt w:val="decimal"/>
      <w:lvlText w:val="%1."/>
      <w:lvlJc w:val="left"/>
      <w:pPr>
        <w:tabs>
          <w:tab w:val="left" w:pos="312"/>
        </w:tabs>
      </w:pPr>
    </w:lvl>
  </w:abstractNum>
  <w:abstractNum w:abstractNumId="5">
    <w:nsid w:val="EFEEB1D6"/>
    <w:multiLevelType w:val="singleLevel"/>
    <w:tmpl w:val="EFEEB1D6"/>
    <w:lvl w:ilvl="0" w:tentative="0">
      <w:start w:val="1"/>
      <w:numFmt w:val="decimal"/>
      <w:suff w:val="space"/>
      <w:lvlText w:val="%1."/>
      <w:lvlJc w:val="left"/>
    </w:lvl>
  </w:abstractNum>
  <w:abstractNum w:abstractNumId="6">
    <w:nsid w:val="FFD47AA6"/>
    <w:multiLevelType w:val="singleLevel"/>
    <w:tmpl w:val="FFD47AA6"/>
    <w:lvl w:ilvl="0" w:tentative="0">
      <w:start w:val="1"/>
      <w:numFmt w:val="decimal"/>
      <w:suff w:val="space"/>
      <w:lvlText w:val="%1."/>
      <w:lvlJc w:val="left"/>
      <w:rPr>
        <w:rFonts w:hint="default"/>
        <w:sz w:val="24"/>
        <w:szCs w:val="24"/>
      </w:rPr>
    </w:lvl>
  </w:abstractNum>
  <w:abstractNum w:abstractNumId="7">
    <w:nsid w:val="00000001"/>
    <w:multiLevelType w:val="multilevel"/>
    <w:tmpl w:val="00000001"/>
    <w:lvl w:ilvl="0" w:tentative="0">
      <w:start w:val="1"/>
      <w:numFmt w:val="decimal"/>
      <w:pStyle w:val="19"/>
      <w:lvlText w:val="%1、"/>
      <w:lvlJc w:val="left"/>
      <w:pPr>
        <w:tabs>
          <w:tab w:val="left" w:pos="1620"/>
        </w:tabs>
        <w:ind w:left="1620" w:hanging="36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8">
    <w:nsid w:val="00000002"/>
    <w:multiLevelType w:val="multilevel"/>
    <w:tmpl w:val="00000002"/>
    <w:lvl w:ilvl="0" w:tentative="0">
      <w:start w:val="1"/>
      <w:numFmt w:val="decimal"/>
      <w:pStyle w:val="182"/>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70"/>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3D45C1E"/>
    <w:multiLevelType w:val="singleLevel"/>
    <w:tmpl w:val="03D45C1E"/>
    <w:lvl w:ilvl="0" w:tentative="0">
      <w:start w:val="1"/>
      <w:numFmt w:val="chineseCounting"/>
      <w:suff w:val="space"/>
      <w:lvlText w:val="第%1章"/>
      <w:lvlJc w:val="left"/>
      <w:rPr>
        <w:rFonts w:hint="eastAsia"/>
      </w:rPr>
    </w:lvl>
  </w:abstractNum>
  <w:abstractNum w:abstractNumId="10">
    <w:nsid w:val="06F76B24"/>
    <w:multiLevelType w:val="multilevel"/>
    <w:tmpl w:val="06F76B24"/>
    <w:lvl w:ilvl="0" w:tentative="0">
      <w:start w:val="1"/>
      <w:numFmt w:val="decimal"/>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D99798"/>
    <w:multiLevelType w:val="singleLevel"/>
    <w:tmpl w:val="15D99798"/>
    <w:lvl w:ilvl="0" w:tentative="0">
      <w:start w:val="1"/>
      <w:numFmt w:val="decimal"/>
      <w:suff w:val="space"/>
      <w:lvlText w:val="%1."/>
      <w:lvlJc w:val="left"/>
    </w:lvl>
  </w:abstractNum>
  <w:abstractNum w:abstractNumId="12">
    <w:nsid w:val="19F439BE"/>
    <w:multiLevelType w:val="singleLevel"/>
    <w:tmpl w:val="19F439BE"/>
    <w:lvl w:ilvl="0" w:tentative="0">
      <w:start w:val="35"/>
      <w:numFmt w:val="decimal"/>
      <w:suff w:val="space"/>
      <w:lvlText w:val="%1."/>
      <w:lvlJc w:val="left"/>
    </w:lvl>
  </w:abstractNum>
  <w:abstractNum w:abstractNumId="13">
    <w:nsid w:val="1B73BC2F"/>
    <w:multiLevelType w:val="singleLevel"/>
    <w:tmpl w:val="1B73BC2F"/>
    <w:lvl w:ilvl="0" w:tentative="0">
      <w:start w:val="1"/>
      <w:numFmt w:val="decimal"/>
      <w:suff w:val="space"/>
      <w:lvlText w:val="（%1）"/>
      <w:lvlJc w:val="left"/>
      <w:pPr>
        <w:ind w:left="-480"/>
      </w:pPr>
      <w:rPr>
        <w:rFonts w:hint="default"/>
        <w:b w:val="0"/>
        <w:bCs w:val="0"/>
        <w:sz w:val="24"/>
        <w:szCs w:val="24"/>
      </w:rPr>
    </w:lvl>
  </w:abstractNum>
  <w:abstractNum w:abstractNumId="14">
    <w:nsid w:val="2193B896"/>
    <w:multiLevelType w:val="singleLevel"/>
    <w:tmpl w:val="2193B896"/>
    <w:lvl w:ilvl="0" w:tentative="0">
      <w:start w:val="2"/>
      <w:numFmt w:val="decimal"/>
      <w:suff w:val="space"/>
      <w:lvlText w:val="%1."/>
      <w:lvlJc w:val="left"/>
      <w:pPr>
        <w:ind w:left="596" w:firstLine="0"/>
      </w:pPr>
    </w:lvl>
  </w:abstractNum>
  <w:abstractNum w:abstractNumId="15">
    <w:nsid w:val="25BA1881"/>
    <w:multiLevelType w:val="multilevel"/>
    <w:tmpl w:val="25BA1881"/>
    <w:lvl w:ilvl="0" w:tentative="0">
      <w:start w:val="1"/>
      <w:numFmt w:val="japaneseCounting"/>
      <w:pStyle w:val="22"/>
      <w:lvlText w:val="第%1章"/>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28462BED"/>
    <w:multiLevelType w:val="singleLevel"/>
    <w:tmpl w:val="28462BED"/>
    <w:lvl w:ilvl="0" w:tentative="0">
      <w:start w:val="1"/>
      <w:numFmt w:val="decimal"/>
      <w:suff w:val="nothing"/>
      <w:lvlText w:val="（%1）"/>
      <w:lvlJc w:val="left"/>
    </w:lvl>
  </w:abstractNum>
  <w:abstractNum w:abstractNumId="17">
    <w:nsid w:val="29DB00F4"/>
    <w:multiLevelType w:val="multilevel"/>
    <w:tmpl w:val="29DB00F4"/>
    <w:lvl w:ilvl="0" w:tentative="0">
      <w:start w:val="1"/>
      <w:numFmt w:val="decimal"/>
      <w:lvlText w:val="%1"/>
      <w:lvlJc w:val="left"/>
      <w:pPr>
        <w:tabs>
          <w:tab w:val="left" w:pos="423"/>
        </w:tabs>
        <w:ind w:left="423" w:hanging="425"/>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28"/>
        <w:u w:val="none"/>
        <w:vertAlign w:val="baseline"/>
        <w14:shadow w14:blurRad="0" w14:dist="0" w14:dir="0" w14:sx="0" w14:sy="0" w14:kx="0" w14:ky="0" w14:algn="none">
          <w14:srgbClr w14:val="000000"/>
        </w14:shadow>
      </w:rPr>
    </w:lvl>
    <w:lvl w:ilvl="1" w:tentative="0">
      <w:start w:val="1"/>
      <w:numFmt w:val="decimal"/>
      <w:lvlText w:val="%1.%2"/>
      <w:lvlJc w:val="left"/>
      <w:pPr>
        <w:tabs>
          <w:tab w:val="left" w:pos="650"/>
        </w:tabs>
        <w:ind w:left="650" w:hanging="652"/>
      </w:pPr>
      <w:rPr>
        <w:rFonts w:hint="default" w:ascii="Times New Roman" w:hAnsi="Times New Roman" w:eastAsia="黑体"/>
        <w:b/>
        <w:i w:val="0"/>
        <w:snapToGrid/>
        <w:color w:val="auto"/>
        <w:spacing w:val="0"/>
        <w:w w:val="100"/>
        <w:kern w:val="21"/>
        <w:sz w:val="28"/>
        <w:u w:val="none"/>
      </w:rPr>
    </w:lvl>
    <w:lvl w:ilvl="2" w:tentative="0">
      <w:start w:val="1"/>
      <w:numFmt w:val="decimal"/>
      <w:isLgl/>
      <w:lvlText w:val="%1.%2.%3"/>
      <w:lvlJc w:val="left"/>
      <w:pPr>
        <w:tabs>
          <w:tab w:val="left" w:pos="838"/>
        </w:tabs>
        <w:ind w:left="838" w:hanging="840"/>
      </w:pPr>
      <w:rPr>
        <w:rFonts w:hint="default" w:ascii="Times New Roman" w:hAnsi="Times New Roman" w:eastAsia="黑体"/>
        <w:b/>
        <w:i w:val="0"/>
        <w:sz w:val="28"/>
      </w:rPr>
    </w:lvl>
    <w:lvl w:ilvl="3" w:tentative="0">
      <w:start w:val="1"/>
      <w:numFmt w:val="decimal"/>
      <w:lvlText w:val="%1.%2.%3.%4"/>
      <w:lvlJc w:val="left"/>
      <w:pPr>
        <w:tabs>
          <w:tab w:val="left" w:pos="1274"/>
        </w:tabs>
        <w:ind w:left="1274" w:hanging="1276"/>
      </w:pPr>
      <w:rPr>
        <w:rFonts w:hint="default" w:ascii="Times New Roman" w:hAnsi="Times New Roman" w:eastAsia="黑体" w:cs="Times New Roman"/>
        <w:b/>
        <w:bCs w:val="0"/>
        <w:i w:val="0"/>
        <w:iCs w:val="0"/>
        <w:caps w:val="0"/>
        <w:smallCaps w:val="0"/>
        <w:strike w:val="0"/>
        <w:dstrike w:val="0"/>
        <w:vanish w:val="0"/>
        <w:color w:val="auto"/>
        <w:spacing w:val="0"/>
        <w:kern w:val="0"/>
        <w:position w:val="0"/>
        <w:sz w:val="28"/>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1238"/>
        </w:tabs>
        <w:ind w:left="1238" w:hanging="124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28"/>
        <w:u w:val="none"/>
        <w:vertAlign w:val="baseline"/>
        <w14:shadow w14:blurRad="0" w14:dist="0" w14:dir="0" w14:sx="0" w14:sy="0" w14:kx="0" w14:ky="0" w14:algn="none">
          <w14:srgbClr w14:val="000000"/>
        </w14:shadow>
      </w:rPr>
    </w:lvl>
    <w:lvl w:ilvl="5" w:tentative="0">
      <w:start w:val="1"/>
      <w:numFmt w:val="decimal"/>
      <w:lvlText w:val="%1.%2.%3.%4.%5.%6"/>
      <w:lvlJc w:val="left"/>
      <w:pPr>
        <w:tabs>
          <w:tab w:val="left" w:pos="1841"/>
        </w:tabs>
        <w:ind w:left="1841" w:hanging="1843"/>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28"/>
        <w:u w:val="none"/>
        <w:vertAlign w:val="baseline"/>
        <w14:shadow w14:blurRad="0" w14:dist="0" w14:dir="0" w14:sx="0" w14:sy="0" w14:kx="0" w14:ky="0" w14:algn="none">
          <w14:srgbClr w14:val="000000"/>
        </w14:shadow>
      </w:rPr>
    </w:lvl>
    <w:lvl w:ilvl="6" w:tentative="0">
      <w:start w:val="1"/>
      <w:numFmt w:val="lowerLetter"/>
      <w:lvlRestart w:val="0"/>
      <w:lvlText w:val="%7)"/>
      <w:lvlJc w:val="left"/>
      <w:pPr>
        <w:tabs>
          <w:tab w:val="left" w:pos="1157"/>
        </w:tabs>
        <w:ind w:left="1157" w:hanging="567"/>
      </w:pPr>
      <w:rPr>
        <w:rFonts w:hint="default" w:ascii="Times New Roman" w:hAnsi="Times New Roman" w:eastAsia="宋体"/>
        <w:b/>
        <w:i w:val="0"/>
        <w:color w:val="auto"/>
        <w:sz w:val="28"/>
        <w:u w:val="none"/>
      </w:rPr>
    </w:lvl>
    <w:lvl w:ilvl="7" w:tentative="0">
      <w:start w:val="1"/>
      <w:numFmt w:val="decimal"/>
      <w:lvlRestart w:val="0"/>
      <w:pStyle w:val="160"/>
      <w:suff w:val="nothing"/>
      <w:lvlText w:val="%8)　"/>
      <w:lvlJc w:val="left"/>
      <w:pPr>
        <w:ind w:left="1633" w:hanging="510"/>
      </w:pPr>
      <w:rPr>
        <w:rFonts w:hint="default" w:ascii="Times New Roman" w:hAnsi="Times New Roman" w:eastAsia="宋体"/>
        <w:b/>
        <w:i w:val="0"/>
        <w:color w:val="auto"/>
        <w:sz w:val="24"/>
        <w:szCs w:val="18"/>
        <w:u w:val="none"/>
      </w:rPr>
    </w:lvl>
    <w:lvl w:ilvl="8" w:tentative="0">
      <w:start w:val="1"/>
      <w:numFmt w:val="none"/>
      <w:lvlText w:val="%9"/>
      <w:lvlJc w:val="left"/>
      <w:pPr>
        <w:tabs>
          <w:tab w:val="left" w:pos="883"/>
        </w:tabs>
        <w:ind w:left="523" w:firstLine="0"/>
      </w:pPr>
      <w:rPr>
        <w:rFonts w:hint="eastAsia" w:ascii="宋体" w:eastAsia="宋体"/>
        <w:b w:val="0"/>
        <w:i w:val="0"/>
        <w:color w:val="auto"/>
        <w:sz w:val="28"/>
        <w:u w:val="none"/>
      </w:rPr>
    </w:lvl>
  </w:abstractNum>
  <w:abstractNum w:abstractNumId="18">
    <w:nsid w:val="2E2C11C7"/>
    <w:multiLevelType w:val="multilevel"/>
    <w:tmpl w:val="2E2C11C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E441373"/>
    <w:multiLevelType w:val="multilevel"/>
    <w:tmpl w:val="2E441373"/>
    <w:lvl w:ilvl="0" w:tentative="0">
      <w:start w:val="1"/>
      <w:numFmt w:val="decimal"/>
      <w:suff w:val="nothing"/>
      <w:lvlText w:val="%1　"/>
      <w:lvlJc w:val="left"/>
      <w:pPr>
        <w:ind w:left="0" w:firstLine="0"/>
      </w:pPr>
      <w:rPr>
        <w:rFonts w:hint="default" w:ascii="Times New Roman" w:hAnsi="Times New Roman" w:eastAsia="黑体"/>
        <w:b/>
        <w:i w:val="0"/>
        <w:caps w:val="0"/>
        <w:strike w:val="0"/>
        <w:vanish w:val="0"/>
        <w:color w:val="000000"/>
        <w:spacing w:val="0"/>
        <w:kern w:val="0"/>
        <w:position w:val="0"/>
        <w:sz w:val="24"/>
        <w:szCs w:val="18"/>
        <w:u w:val="none"/>
        <w:vertAlign w:val="baseline"/>
        <w14:shadow w14:blurRad="0" w14:dist="0" w14:dir="0" w14:sx="0" w14:sy="0" w14:kx="0" w14:ky="0" w14:algn="none">
          <w14:srgbClr w14:val="000000"/>
        </w14:shadow>
      </w:rPr>
    </w:lvl>
    <w:lvl w:ilvl="1" w:tentative="0">
      <w:start w:val="1"/>
      <w:numFmt w:val="decimal"/>
      <w:suff w:val="nothing"/>
      <w:lvlText w:val="%1.%2　"/>
      <w:lvlJc w:val="left"/>
      <w:pPr>
        <w:ind w:left="0" w:firstLine="0"/>
      </w:pPr>
      <w:rPr>
        <w:rFonts w:hint="default" w:ascii="Times New Roman" w:hAnsi="Times New Roman" w:eastAsia="黑体"/>
        <w:b/>
        <w:i w:val="0"/>
        <w:snapToGrid/>
        <w:color w:val="auto"/>
        <w:spacing w:val="0"/>
        <w:w w:val="100"/>
        <w:kern w:val="21"/>
        <w:sz w:val="24"/>
        <w:szCs w:val="18"/>
        <w:u w:val="none"/>
      </w:rPr>
    </w:lvl>
    <w:lvl w:ilvl="2" w:tentative="0">
      <w:start w:val="1"/>
      <w:numFmt w:val="decimal"/>
      <w:pStyle w:val="166"/>
      <w:isLgl/>
      <w:suff w:val="nothing"/>
      <w:lvlText w:val="%1.%2.%3　"/>
      <w:lvlJc w:val="left"/>
      <w:pPr>
        <w:ind w:left="0" w:firstLine="0"/>
      </w:pPr>
      <w:rPr>
        <w:rFonts w:hint="default" w:ascii="Times New Roman" w:hAnsi="Times New Roman" w:eastAsia="黑体"/>
        <w:b/>
        <w:i w:val="0"/>
        <w:sz w:val="24"/>
        <w:szCs w:val="18"/>
      </w:rPr>
    </w:lvl>
    <w:lvl w:ilvl="3" w:tentative="0">
      <w:start w:val="1"/>
      <w:numFmt w:val="decimal"/>
      <w:pStyle w:val="274"/>
      <w:suff w:val="nothing"/>
      <w:lvlText w:val="%1.%2.%3.%4　"/>
      <w:lvlJc w:val="left"/>
      <w:pPr>
        <w:ind w:left="0" w:firstLine="0"/>
      </w:pPr>
      <w:rPr>
        <w:rFonts w:hint="default" w:ascii="Times New Roman" w:hAnsi="Times New Roman" w:eastAsia="黑体" w:cs="Times New Roman"/>
        <w:b/>
        <w:bCs w:val="0"/>
        <w:i w:val="0"/>
        <w:iCs w:val="0"/>
        <w:caps w:val="0"/>
        <w:smallCaps w:val="0"/>
        <w:strike w:val="0"/>
        <w:dstrike w:val="0"/>
        <w:vanish w:val="0"/>
        <w:color w:val="auto"/>
        <w:spacing w:val="0"/>
        <w:kern w:val="0"/>
        <w:position w:val="0"/>
        <w:sz w:val="28"/>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28"/>
        <w:u w:val="none"/>
        <w:vertAlign w:val="baseline"/>
        <w14:shadow w14:blurRad="0" w14:dist="0" w14:dir="0" w14:sx="0" w14:sy="0" w14:kx="0" w14:ky="0" w14:algn="none">
          <w14:srgbClr w14:val="000000"/>
        </w14:shadow>
      </w:rPr>
    </w:lvl>
    <w:lvl w:ilvl="5" w:tentative="0">
      <w:start w:val="1"/>
      <w:numFmt w:val="decimal"/>
      <w:suff w:val="nothing"/>
      <w:lvlText w:val="%1.%2.%3.%4.%5.%6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28"/>
        <w:u w:val="none"/>
        <w:vertAlign w:val="baseline"/>
        <w14:shadow w14:blurRad="0" w14:dist="0" w14:dir="0" w14:sx="0" w14:sy="0" w14:kx="0" w14:ky="0" w14:algn="none">
          <w14:srgbClr w14:val="000000"/>
        </w14:shadow>
      </w:rPr>
    </w:lvl>
    <w:lvl w:ilvl="6" w:tentative="0">
      <w:start w:val="1"/>
      <w:numFmt w:val="lowerLetter"/>
      <w:lvlRestart w:val="0"/>
      <w:lvlText w:val="%7)"/>
      <w:lvlJc w:val="left"/>
      <w:pPr>
        <w:tabs>
          <w:tab w:val="left" w:pos="1159"/>
        </w:tabs>
        <w:ind w:left="1159" w:hanging="567"/>
      </w:pPr>
      <w:rPr>
        <w:rFonts w:hint="default" w:ascii="Times New Roman" w:hAnsi="Times New Roman" w:eastAsia="宋体"/>
        <w:b/>
        <w:i w:val="0"/>
        <w:color w:val="auto"/>
        <w:sz w:val="28"/>
        <w:u w:val="none"/>
      </w:rPr>
    </w:lvl>
    <w:lvl w:ilvl="7" w:tentative="0">
      <w:start w:val="1"/>
      <w:numFmt w:val="decimal"/>
      <w:lvlRestart w:val="0"/>
      <w:lvlText w:val="%8)"/>
      <w:lvlJc w:val="left"/>
      <w:pPr>
        <w:tabs>
          <w:tab w:val="left" w:pos="1726"/>
        </w:tabs>
        <w:ind w:left="1726" w:hanging="567"/>
      </w:pPr>
      <w:rPr>
        <w:rFonts w:hint="default" w:ascii="Times New Roman" w:hAnsi="Times New Roman" w:eastAsia="宋体"/>
        <w:b/>
        <w:i w:val="0"/>
        <w:color w:val="auto"/>
        <w:sz w:val="28"/>
        <w:u w:val="none"/>
      </w:rPr>
    </w:lvl>
    <w:lvl w:ilvl="8" w:tentative="0">
      <w:start w:val="1"/>
      <w:numFmt w:val="none"/>
      <w:lvlText w:val="%9"/>
      <w:lvlJc w:val="left"/>
      <w:pPr>
        <w:tabs>
          <w:tab w:val="left" w:pos="885"/>
        </w:tabs>
        <w:ind w:left="525" w:firstLine="0"/>
      </w:pPr>
      <w:rPr>
        <w:rFonts w:hint="eastAsia" w:ascii="宋体" w:eastAsia="宋体"/>
        <w:b w:val="0"/>
        <w:i w:val="0"/>
        <w:color w:val="auto"/>
        <w:sz w:val="28"/>
        <w:u w:val="none"/>
      </w:rPr>
    </w:lvl>
  </w:abstractNum>
  <w:abstractNum w:abstractNumId="20">
    <w:nsid w:val="2E7CA64D"/>
    <w:multiLevelType w:val="singleLevel"/>
    <w:tmpl w:val="2E7CA64D"/>
    <w:lvl w:ilvl="0" w:tentative="0">
      <w:start w:val="1"/>
      <w:numFmt w:val="decimal"/>
      <w:suff w:val="space"/>
      <w:lvlText w:val="%1."/>
      <w:lvlJc w:val="left"/>
      <w:rPr>
        <w:rFonts w:hint="default" w:ascii="楷体" w:hAnsi="楷体" w:eastAsia="楷体" w:cs="楷体"/>
        <w:sz w:val="24"/>
        <w:szCs w:val="24"/>
      </w:rPr>
    </w:lvl>
  </w:abstractNum>
  <w:abstractNum w:abstractNumId="21">
    <w:nsid w:val="33E35324"/>
    <w:multiLevelType w:val="multilevel"/>
    <w:tmpl w:val="33E35324"/>
    <w:lvl w:ilvl="0" w:tentative="0">
      <w:start w:val="2"/>
      <w:numFmt w:val="ideographEnclosedCircle"/>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F0E97F"/>
    <w:multiLevelType w:val="singleLevel"/>
    <w:tmpl w:val="33F0E97F"/>
    <w:lvl w:ilvl="0" w:tentative="0">
      <w:start w:val="1"/>
      <w:numFmt w:val="decimal"/>
      <w:lvlText w:val="%1."/>
      <w:lvlJc w:val="left"/>
      <w:pPr>
        <w:tabs>
          <w:tab w:val="left" w:pos="312"/>
        </w:tabs>
        <w:ind w:left="-482"/>
      </w:pPr>
      <w:rPr>
        <w:rFonts w:hint="default"/>
        <w:b/>
        <w:bCs/>
        <w:sz w:val="24"/>
        <w:szCs w:val="24"/>
      </w:rPr>
    </w:lvl>
  </w:abstractNum>
  <w:abstractNum w:abstractNumId="23">
    <w:nsid w:val="5216629E"/>
    <w:multiLevelType w:val="multilevel"/>
    <w:tmpl w:val="5216629E"/>
    <w:lvl w:ilvl="0" w:tentative="0">
      <w:start w:val="1"/>
      <w:numFmt w:val="decimal"/>
      <w:pStyle w:val="241"/>
      <w:isLgl/>
      <w:suff w:val="nothing"/>
      <w:lvlText w:val="%1　"/>
      <w:lvlJc w:val="left"/>
      <w:pPr>
        <w:ind w:left="0" w:firstLine="0"/>
      </w:pPr>
      <w:rPr>
        <w:rFonts w:hint="default" w:ascii="Times New Roman" w:hAnsi="Times New Roman" w:eastAsia="宋体"/>
        <w:b/>
        <w:i w:val="0"/>
        <w:color w:val="auto"/>
        <w:sz w:val="24"/>
        <w:szCs w:val="18"/>
        <w:u w:val="none"/>
      </w:rPr>
    </w:lvl>
    <w:lvl w:ilvl="1" w:tentative="0">
      <w:start w:val="1"/>
      <w:numFmt w:val="decimal"/>
      <w:isLgl/>
      <w:suff w:val="nothing"/>
      <w:lvlText w:val="%1.%2　"/>
      <w:lvlJc w:val="left"/>
      <w:pPr>
        <w:ind w:left="0"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0" w:firstLine="0"/>
      </w:pPr>
      <w:rPr>
        <w:rFonts w:hint="default" w:ascii="Times New Roman" w:hAnsi="Times New Roman" w:eastAsia="黑体"/>
        <w:b w:val="0"/>
        <w:i w:val="0"/>
        <w:sz w:val="28"/>
      </w:rPr>
    </w:lvl>
    <w:lvl w:ilvl="3" w:tentative="0">
      <w:start w:val="1"/>
      <w:numFmt w:val="decimal"/>
      <w:isLgl/>
      <w:suff w:val="nothing"/>
      <w:lvlText w:val="%1.%2.%3.%4　"/>
      <w:lvlJc w:val="left"/>
      <w:pPr>
        <w:ind w:left="0"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0"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0" w:firstLine="0"/>
      </w:pPr>
      <w:rPr>
        <w:rFonts w:hint="default" w:ascii="Times New Roman" w:hAnsi="Times New Roman" w:eastAsia="宋体"/>
        <w:b/>
        <w:i w:val="0"/>
        <w:sz w:val="28"/>
      </w:rPr>
    </w:lvl>
    <w:lvl w:ilvl="6" w:tentative="0">
      <w:start w:val="1"/>
      <w:numFmt w:val="lowerLetter"/>
      <w:pStyle w:val="187"/>
      <w:lvlText w:val="%7) "/>
      <w:lvlJc w:val="left"/>
      <w:pPr>
        <w:tabs>
          <w:tab w:val="left" w:pos="660"/>
        </w:tabs>
        <w:ind w:left="340" w:firstLine="400"/>
      </w:pPr>
      <w:rPr>
        <w:rFonts w:hint="default" w:ascii="Times New Roman" w:hAnsi="Times New Roman" w:eastAsia="宋体"/>
        <w:b/>
        <w:i w:val="0"/>
        <w:color w:val="auto"/>
        <w:sz w:val="28"/>
        <w:u w:val="none"/>
      </w:rPr>
    </w:lvl>
    <w:lvl w:ilvl="7" w:tentative="0">
      <w:start w:val="1"/>
      <w:numFmt w:val="decimal"/>
      <w:lvlText w:val="%8)"/>
      <w:lvlJc w:val="left"/>
      <w:pPr>
        <w:tabs>
          <w:tab w:val="left" w:pos="885"/>
        </w:tabs>
        <w:ind w:left="525"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85"/>
        </w:tabs>
        <w:ind w:left="525" w:firstLine="0"/>
      </w:pPr>
      <w:rPr>
        <w:rFonts w:hint="eastAsia" w:ascii="宋体" w:eastAsia="宋体"/>
        <w:b w:val="0"/>
        <w:i w:val="0"/>
        <w:color w:val="auto"/>
        <w:sz w:val="28"/>
        <w:u w:val="none"/>
      </w:rPr>
    </w:lvl>
  </w:abstractNum>
  <w:abstractNum w:abstractNumId="24">
    <w:nsid w:val="557C2AF5"/>
    <w:multiLevelType w:val="multilevel"/>
    <w:tmpl w:val="557C2AF5"/>
    <w:lvl w:ilvl="0" w:tentative="0">
      <w:start w:val="1"/>
      <w:numFmt w:val="decimal"/>
      <w:pStyle w:val="235"/>
      <w:suff w:val="nothing"/>
      <w:lvlText w:val="图%1　"/>
      <w:lvlJc w:val="left"/>
      <w:pPr>
        <w:ind w:left="735" w:firstLine="0"/>
      </w:pPr>
      <w:rPr>
        <w:rFonts w:hint="default" w:ascii="黑体" w:hAnsi="Times New Roman" w:eastAsia="黑体"/>
        <w:b w:val="0"/>
        <w:i w:val="0"/>
        <w:color w:val="auto"/>
        <w:sz w:val="24"/>
        <w:szCs w:val="18"/>
        <w:u w:val="none"/>
        <w:lang w:val="en-US"/>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5">
    <w:nsid w:val="5876F942"/>
    <w:multiLevelType w:val="singleLevel"/>
    <w:tmpl w:val="5876F942"/>
    <w:lvl w:ilvl="0" w:tentative="0">
      <w:start w:val="2"/>
      <w:numFmt w:val="chineseCounting"/>
      <w:suff w:val="space"/>
      <w:lvlText w:val="第%1章"/>
      <w:lvlJc w:val="left"/>
    </w:lvl>
  </w:abstractNum>
  <w:abstractNum w:abstractNumId="26">
    <w:nsid w:val="58773019"/>
    <w:multiLevelType w:val="singleLevel"/>
    <w:tmpl w:val="58773019"/>
    <w:lvl w:ilvl="0" w:tentative="0">
      <w:start w:val="4"/>
      <w:numFmt w:val="chineseCounting"/>
      <w:suff w:val="nothing"/>
      <w:lvlText w:val="%1、"/>
      <w:lvlJc w:val="left"/>
    </w:lvl>
  </w:abstractNum>
  <w:abstractNum w:abstractNumId="27">
    <w:nsid w:val="59B9EC84"/>
    <w:multiLevelType w:val="singleLevel"/>
    <w:tmpl w:val="59B9EC84"/>
    <w:lvl w:ilvl="0" w:tentative="0">
      <w:start w:val="1"/>
      <w:numFmt w:val="decimal"/>
      <w:suff w:val="nothing"/>
      <w:lvlText w:val="%1."/>
      <w:lvlJc w:val="left"/>
    </w:lvl>
  </w:abstractNum>
  <w:abstractNum w:abstractNumId="28">
    <w:nsid w:val="646260FA"/>
    <w:multiLevelType w:val="multilevel"/>
    <w:tmpl w:val="646260FA"/>
    <w:lvl w:ilvl="0" w:tentative="0">
      <w:start w:val="1"/>
      <w:numFmt w:val="decimal"/>
      <w:pStyle w:val="200"/>
      <w:lvlText w:val="表%1"/>
      <w:lvlJc w:val="left"/>
      <w:pPr>
        <w:tabs>
          <w:tab w:val="left" w:pos="735"/>
        </w:tabs>
        <w:ind w:left="735" w:hanging="735"/>
      </w:pPr>
      <w:rPr>
        <w:rFonts w:hint="default" w:ascii="黑体" w:hAnsi="Times New Roman" w:eastAsia="黑体"/>
        <w:b w:val="0"/>
        <w:bCs w:val="0"/>
        <w:i w:val="0"/>
        <w:iCs w:val="0"/>
        <w:color w:val="auto"/>
        <w:sz w:val="24"/>
        <w:szCs w:val="24"/>
        <w:u w:val="none"/>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5CAE305"/>
    <w:multiLevelType w:val="singleLevel"/>
    <w:tmpl w:val="65CAE305"/>
    <w:lvl w:ilvl="0" w:tentative="0">
      <w:start w:val="1"/>
      <w:numFmt w:val="decimal"/>
      <w:suff w:val="space"/>
      <w:lvlText w:val="%1."/>
      <w:lvlJc w:val="left"/>
    </w:lvl>
  </w:abstractNum>
  <w:abstractNum w:abstractNumId="30">
    <w:nsid w:val="6A82410E"/>
    <w:multiLevelType w:val="multilevel"/>
    <w:tmpl w:val="6A82410E"/>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sz w:val="32"/>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1">
    <w:nsid w:val="7B1243E1"/>
    <w:multiLevelType w:val="multilevel"/>
    <w:tmpl w:val="7B1243E1"/>
    <w:lvl w:ilvl="0" w:tentative="0">
      <w:start w:val="2"/>
      <w:numFmt w:val="ideographEnclosedCircle"/>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5"/>
  </w:num>
  <w:num w:numId="3">
    <w:abstractNumId w:val="17"/>
  </w:num>
  <w:num w:numId="4">
    <w:abstractNumId w:val="19"/>
  </w:num>
  <w:num w:numId="5">
    <w:abstractNumId w:val="8"/>
  </w:num>
  <w:num w:numId="6">
    <w:abstractNumId w:val="23"/>
  </w:num>
  <w:num w:numId="7">
    <w:abstractNumId w:val="28"/>
  </w:num>
  <w:num w:numId="8">
    <w:abstractNumId w:val="24"/>
  </w:num>
  <w:num w:numId="9">
    <w:abstractNumId w:val="9"/>
  </w:num>
  <w:num w:numId="10">
    <w:abstractNumId w:val="10"/>
  </w:num>
  <w:num w:numId="11">
    <w:abstractNumId w:val="1"/>
  </w:num>
  <w:num w:numId="12">
    <w:abstractNumId w:val="18"/>
  </w:num>
  <w:num w:numId="13">
    <w:abstractNumId w:val="16"/>
  </w:num>
  <w:num w:numId="14">
    <w:abstractNumId w:val="27"/>
  </w:num>
  <w:num w:numId="15">
    <w:abstractNumId w:val="26"/>
  </w:num>
  <w:num w:numId="16">
    <w:abstractNumId w:val="4"/>
  </w:num>
  <w:num w:numId="17">
    <w:abstractNumId w:val="12"/>
  </w:num>
  <w:num w:numId="18">
    <w:abstractNumId w:val="0"/>
  </w:num>
  <w:num w:numId="19">
    <w:abstractNumId w:val="25"/>
  </w:num>
  <w:num w:numId="20">
    <w:abstractNumId w:val="3"/>
  </w:num>
  <w:num w:numId="21">
    <w:abstractNumId w:val="30"/>
  </w:num>
  <w:num w:numId="22">
    <w:abstractNumId w:val="22"/>
  </w:num>
  <w:num w:numId="23">
    <w:abstractNumId w:val="13"/>
  </w:num>
  <w:num w:numId="24">
    <w:abstractNumId w:val="14"/>
  </w:num>
  <w:num w:numId="25">
    <w:abstractNumId w:val="11"/>
  </w:num>
  <w:num w:numId="26">
    <w:abstractNumId w:val="29"/>
  </w:num>
  <w:num w:numId="27">
    <w:abstractNumId w:val="5"/>
  </w:num>
  <w:num w:numId="28">
    <w:abstractNumId w:val="20"/>
  </w:num>
  <w:num w:numId="29">
    <w:abstractNumId w:val="6"/>
  </w:num>
  <w:num w:numId="30">
    <w:abstractNumId w:val="2"/>
  </w:num>
  <w:num w:numId="31">
    <w:abstractNumId w:val="3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kZTA1NzYwOTFhMzE3ZGE3ZDk0NjFlZWNhZThhY2YifQ=="/>
  </w:docVars>
  <w:rsids>
    <w:rsidRoot w:val="009C1310"/>
    <w:rsid w:val="00000693"/>
    <w:rsid w:val="00001AA2"/>
    <w:rsid w:val="00002328"/>
    <w:rsid w:val="000128BE"/>
    <w:rsid w:val="000141E9"/>
    <w:rsid w:val="00014498"/>
    <w:rsid w:val="000155DA"/>
    <w:rsid w:val="00016096"/>
    <w:rsid w:val="00016AEC"/>
    <w:rsid w:val="00020685"/>
    <w:rsid w:val="0002132E"/>
    <w:rsid w:val="00021416"/>
    <w:rsid w:val="00033135"/>
    <w:rsid w:val="000353CC"/>
    <w:rsid w:val="000363FC"/>
    <w:rsid w:val="00037888"/>
    <w:rsid w:val="00041FF3"/>
    <w:rsid w:val="000421A8"/>
    <w:rsid w:val="00044B0C"/>
    <w:rsid w:val="000459C5"/>
    <w:rsid w:val="00045BC4"/>
    <w:rsid w:val="000521A5"/>
    <w:rsid w:val="0005283A"/>
    <w:rsid w:val="00053AA4"/>
    <w:rsid w:val="000551EE"/>
    <w:rsid w:val="0005673C"/>
    <w:rsid w:val="00057538"/>
    <w:rsid w:val="00065BF2"/>
    <w:rsid w:val="00065F9C"/>
    <w:rsid w:val="00067ACB"/>
    <w:rsid w:val="0007348C"/>
    <w:rsid w:val="00080D46"/>
    <w:rsid w:val="00082688"/>
    <w:rsid w:val="00083DAF"/>
    <w:rsid w:val="00087052"/>
    <w:rsid w:val="00090FEF"/>
    <w:rsid w:val="00094B01"/>
    <w:rsid w:val="000978C5"/>
    <w:rsid w:val="000A0912"/>
    <w:rsid w:val="000A3F2B"/>
    <w:rsid w:val="000A4DB8"/>
    <w:rsid w:val="000A62CA"/>
    <w:rsid w:val="000A6841"/>
    <w:rsid w:val="000A686E"/>
    <w:rsid w:val="000B176B"/>
    <w:rsid w:val="000B2330"/>
    <w:rsid w:val="000B5304"/>
    <w:rsid w:val="000C0F0C"/>
    <w:rsid w:val="000C11FB"/>
    <w:rsid w:val="000C246A"/>
    <w:rsid w:val="000C4D9A"/>
    <w:rsid w:val="000D2248"/>
    <w:rsid w:val="000D6CD8"/>
    <w:rsid w:val="000E2A63"/>
    <w:rsid w:val="000E5CBA"/>
    <w:rsid w:val="000E7B35"/>
    <w:rsid w:val="000F301E"/>
    <w:rsid w:val="000F3581"/>
    <w:rsid w:val="000F3A56"/>
    <w:rsid w:val="000F69EE"/>
    <w:rsid w:val="000F7B8B"/>
    <w:rsid w:val="00100664"/>
    <w:rsid w:val="00102874"/>
    <w:rsid w:val="001029DB"/>
    <w:rsid w:val="001039C7"/>
    <w:rsid w:val="00105C4C"/>
    <w:rsid w:val="001122FF"/>
    <w:rsid w:val="001130E3"/>
    <w:rsid w:val="00116A84"/>
    <w:rsid w:val="00117F9C"/>
    <w:rsid w:val="00121D51"/>
    <w:rsid w:val="0012401D"/>
    <w:rsid w:val="001251E7"/>
    <w:rsid w:val="00127F98"/>
    <w:rsid w:val="00130A2A"/>
    <w:rsid w:val="00131B41"/>
    <w:rsid w:val="0014763E"/>
    <w:rsid w:val="00152773"/>
    <w:rsid w:val="00153A54"/>
    <w:rsid w:val="00154399"/>
    <w:rsid w:val="0015748B"/>
    <w:rsid w:val="0016016C"/>
    <w:rsid w:val="00163EB5"/>
    <w:rsid w:val="00163FC1"/>
    <w:rsid w:val="00164C26"/>
    <w:rsid w:val="001767CB"/>
    <w:rsid w:val="00182F04"/>
    <w:rsid w:val="001859FE"/>
    <w:rsid w:val="00185A55"/>
    <w:rsid w:val="00185F54"/>
    <w:rsid w:val="00186E7D"/>
    <w:rsid w:val="001901A5"/>
    <w:rsid w:val="00190AE3"/>
    <w:rsid w:val="001A5FE8"/>
    <w:rsid w:val="001A6767"/>
    <w:rsid w:val="001A67C9"/>
    <w:rsid w:val="001B1675"/>
    <w:rsid w:val="001B298C"/>
    <w:rsid w:val="001B3E82"/>
    <w:rsid w:val="001B7992"/>
    <w:rsid w:val="001C1F8B"/>
    <w:rsid w:val="001C24F5"/>
    <w:rsid w:val="001C53D5"/>
    <w:rsid w:val="001C5906"/>
    <w:rsid w:val="001C5BDE"/>
    <w:rsid w:val="001C7563"/>
    <w:rsid w:val="001D44C5"/>
    <w:rsid w:val="001D4FBC"/>
    <w:rsid w:val="001D5401"/>
    <w:rsid w:val="001D55C4"/>
    <w:rsid w:val="001D63DA"/>
    <w:rsid w:val="001E1E95"/>
    <w:rsid w:val="001E2FD7"/>
    <w:rsid w:val="001E691B"/>
    <w:rsid w:val="001F0907"/>
    <w:rsid w:val="001F218B"/>
    <w:rsid w:val="001F243E"/>
    <w:rsid w:val="001F31B1"/>
    <w:rsid w:val="001F32DE"/>
    <w:rsid w:val="001F4024"/>
    <w:rsid w:val="001F47D1"/>
    <w:rsid w:val="002013DF"/>
    <w:rsid w:val="002064BF"/>
    <w:rsid w:val="00206E2A"/>
    <w:rsid w:val="0021054E"/>
    <w:rsid w:val="00214F04"/>
    <w:rsid w:val="00216D9F"/>
    <w:rsid w:val="00222FAD"/>
    <w:rsid w:val="00231CEE"/>
    <w:rsid w:val="00240ECA"/>
    <w:rsid w:val="002426BA"/>
    <w:rsid w:val="00244037"/>
    <w:rsid w:val="00246ECA"/>
    <w:rsid w:val="00251C3E"/>
    <w:rsid w:val="002624E9"/>
    <w:rsid w:val="002633BA"/>
    <w:rsid w:val="00264271"/>
    <w:rsid w:val="0027032E"/>
    <w:rsid w:val="00270DA8"/>
    <w:rsid w:val="00273E46"/>
    <w:rsid w:val="002779F5"/>
    <w:rsid w:val="00280816"/>
    <w:rsid w:val="0028295F"/>
    <w:rsid w:val="0028660E"/>
    <w:rsid w:val="00287A88"/>
    <w:rsid w:val="00287B9A"/>
    <w:rsid w:val="00290767"/>
    <w:rsid w:val="00292556"/>
    <w:rsid w:val="00293DAF"/>
    <w:rsid w:val="00297E34"/>
    <w:rsid w:val="00297E6D"/>
    <w:rsid w:val="002A0702"/>
    <w:rsid w:val="002A2F19"/>
    <w:rsid w:val="002A69E2"/>
    <w:rsid w:val="002A6AB5"/>
    <w:rsid w:val="002A7AE6"/>
    <w:rsid w:val="002B64D1"/>
    <w:rsid w:val="002B6C7A"/>
    <w:rsid w:val="002B7E06"/>
    <w:rsid w:val="002C47E3"/>
    <w:rsid w:val="002D07AC"/>
    <w:rsid w:val="002D2CC5"/>
    <w:rsid w:val="002D40D9"/>
    <w:rsid w:val="002D48A5"/>
    <w:rsid w:val="002D4C61"/>
    <w:rsid w:val="002E29A0"/>
    <w:rsid w:val="002F019D"/>
    <w:rsid w:val="002F15E6"/>
    <w:rsid w:val="002F4730"/>
    <w:rsid w:val="002F5BB4"/>
    <w:rsid w:val="002F5E06"/>
    <w:rsid w:val="002F72FE"/>
    <w:rsid w:val="00300593"/>
    <w:rsid w:val="003021A5"/>
    <w:rsid w:val="00305F63"/>
    <w:rsid w:val="00307263"/>
    <w:rsid w:val="00310F58"/>
    <w:rsid w:val="00311EF8"/>
    <w:rsid w:val="003145EC"/>
    <w:rsid w:val="0031782D"/>
    <w:rsid w:val="00320BB2"/>
    <w:rsid w:val="00321A74"/>
    <w:rsid w:val="00326283"/>
    <w:rsid w:val="00326E67"/>
    <w:rsid w:val="00326FC4"/>
    <w:rsid w:val="00330407"/>
    <w:rsid w:val="003318EB"/>
    <w:rsid w:val="00332ACD"/>
    <w:rsid w:val="00333126"/>
    <w:rsid w:val="0033621D"/>
    <w:rsid w:val="00336292"/>
    <w:rsid w:val="00337314"/>
    <w:rsid w:val="0033781C"/>
    <w:rsid w:val="00340B90"/>
    <w:rsid w:val="00342CF7"/>
    <w:rsid w:val="003437A2"/>
    <w:rsid w:val="00343CB7"/>
    <w:rsid w:val="003448EE"/>
    <w:rsid w:val="00347660"/>
    <w:rsid w:val="003514A5"/>
    <w:rsid w:val="003525E2"/>
    <w:rsid w:val="00355A69"/>
    <w:rsid w:val="00361A24"/>
    <w:rsid w:val="00364398"/>
    <w:rsid w:val="003655BC"/>
    <w:rsid w:val="00365F18"/>
    <w:rsid w:val="00367680"/>
    <w:rsid w:val="003725AA"/>
    <w:rsid w:val="00373BFB"/>
    <w:rsid w:val="00374595"/>
    <w:rsid w:val="00381040"/>
    <w:rsid w:val="00395256"/>
    <w:rsid w:val="003952C1"/>
    <w:rsid w:val="003972D9"/>
    <w:rsid w:val="003A08A7"/>
    <w:rsid w:val="003A1A68"/>
    <w:rsid w:val="003B4A48"/>
    <w:rsid w:val="003B77F4"/>
    <w:rsid w:val="003B7EF3"/>
    <w:rsid w:val="003C0068"/>
    <w:rsid w:val="003C6CD8"/>
    <w:rsid w:val="003C771B"/>
    <w:rsid w:val="003D1A19"/>
    <w:rsid w:val="003D2A5F"/>
    <w:rsid w:val="003D638A"/>
    <w:rsid w:val="003E08A1"/>
    <w:rsid w:val="003E2145"/>
    <w:rsid w:val="003E7969"/>
    <w:rsid w:val="003E7DBA"/>
    <w:rsid w:val="003E7E47"/>
    <w:rsid w:val="003F03BF"/>
    <w:rsid w:val="003F0480"/>
    <w:rsid w:val="003F058E"/>
    <w:rsid w:val="003F0B61"/>
    <w:rsid w:val="003F1097"/>
    <w:rsid w:val="003F510E"/>
    <w:rsid w:val="003F54A7"/>
    <w:rsid w:val="00401BA5"/>
    <w:rsid w:val="00402DD0"/>
    <w:rsid w:val="00402EC5"/>
    <w:rsid w:val="004035D7"/>
    <w:rsid w:val="00403B60"/>
    <w:rsid w:val="00403B69"/>
    <w:rsid w:val="0040540E"/>
    <w:rsid w:val="00407A3B"/>
    <w:rsid w:val="00411A59"/>
    <w:rsid w:val="00422D9A"/>
    <w:rsid w:val="0042636A"/>
    <w:rsid w:val="004263FA"/>
    <w:rsid w:val="00430E55"/>
    <w:rsid w:val="00432FDF"/>
    <w:rsid w:val="0043335B"/>
    <w:rsid w:val="00433487"/>
    <w:rsid w:val="00433882"/>
    <w:rsid w:val="004403CF"/>
    <w:rsid w:val="00441C47"/>
    <w:rsid w:val="00445D1A"/>
    <w:rsid w:val="00446B5F"/>
    <w:rsid w:val="00446E0F"/>
    <w:rsid w:val="004478DC"/>
    <w:rsid w:val="00447A3F"/>
    <w:rsid w:val="00447B70"/>
    <w:rsid w:val="0045039D"/>
    <w:rsid w:val="004539AF"/>
    <w:rsid w:val="00454106"/>
    <w:rsid w:val="004552E6"/>
    <w:rsid w:val="0045730F"/>
    <w:rsid w:val="00461087"/>
    <w:rsid w:val="00462D86"/>
    <w:rsid w:val="004635A0"/>
    <w:rsid w:val="00472391"/>
    <w:rsid w:val="004773AE"/>
    <w:rsid w:val="00477F4C"/>
    <w:rsid w:val="00482105"/>
    <w:rsid w:val="004837FD"/>
    <w:rsid w:val="00485407"/>
    <w:rsid w:val="0049094E"/>
    <w:rsid w:val="00491E15"/>
    <w:rsid w:val="004921F2"/>
    <w:rsid w:val="004922D7"/>
    <w:rsid w:val="0049281E"/>
    <w:rsid w:val="00493A08"/>
    <w:rsid w:val="004B33D8"/>
    <w:rsid w:val="004B3694"/>
    <w:rsid w:val="004B60C8"/>
    <w:rsid w:val="004B780C"/>
    <w:rsid w:val="004B79D5"/>
    <w:rsid w:val="004B7C62"/>
    <w:rsid w:val="004C062E"/>
    <w:rsid w:val="004C0870"/>
    <w:rsid w:val="004C0A88"/>
    <w:rsid w:val="004C1CDA"/>
    <w:rsid w:val="004C4FBB"/>
    <w:rsid w:val="004C7BF9"/>
    <w:rsid w:val="004C7EDC"/>
    <w:rsid w:val="004D0158"/>
    <w:rsid w:val="004D6A5F"/>
    <w:rsid w:val="004D723D"/>
    <w:rsid w:val="004E0714"/>
    <w:rsid w:val="004E071C"/>
    <w:rsid w:val="004E0AFA"/>
    <w:rsid w:val="004E36F4"/>
    <w:rsid w:val="004E4DF6"/>
    <w:rsid w:val="004E5F6D"/>
    <w:rsid w:val="004F0291"/>
    <w:rsid w:val="004F035A"/>
    <w:rsid w:val="004F2E3F"/>
    <w:rsid w:val="004F5FCD"/>
    <w:rsid w:val="005000C1"/>
    <w:rsid w:val="00503BEC"/>
    <w:rsid w:val="00503C9A"/>
    <w:rsid w:val="00513282"/>
    <w:rsid w:val="00515D56"/>
    <w:rsid w:val="00515E86"/>
    <w:rsid w:val="00520546"/>
    <w:rsid w:val="005226E1"/>
    <w:rsid w:val="00530EB4"/>
    <w:rsid w:val="00537171"/>
    <w:rsid w:val="005419F7"/>
    <w:rsid w:val="0054239B"/>
    <w:rsid w:val="0054588E"/>
    <w:rsid w:val="005546CC"/>
    <w:rsid w:val="00556123"/>
    <w:rsid w:val="00556821"/>
    <w:rsid w:val="005614C5"/>
    <w:rsid w:val="0056752F"/>
    <w:rsid w:val="0056773F"/>
    <w:rsid w:val="00567C57"/>
    <w:rsid w:val="00574279"/>
    <w:rsid w:val="00574C91"/>
    <w:rsid w:val="00575340"/>
    <w:rsid w:val="005800C8"/>
    <w:rsid w:val="005824EC"/>
    <w:rsid w:val="0058293D"/>
    <w:rsid w:val="00583459"/>
    <w:rsid w:val="00586FE2"/>
    <w:rsid w:val="005916F1"/>
    <w:rsid w:val="00594457"/>
    <w:rsid w:val="00597648"/>
    <w:rsid w:val="005A25C6"/>
    <w:rsid w:val="005A35CB"/>
    <w:rsid w:val="005A362E"/>
    <w:rsid w:val="005A6ACE"/>
    <w:rsid w:val="005A7AA8"/>
    <w:rsid w:val="005B170D"/>
    <w:rsid w:val="005B1FB7"/>
    <w:rsid w:val="005B2B43"/>
    <w:rsid w:val="005B2D01"/>
    <w:rsid w:val="005C441F"/>
    <w:rsid w:val="005D14B9"/>
    <w:rsid w:val="005D42E5"/>
    <w:rsid w:val="005D456E"/>
    <w:rsid w:val="005D7068"/>
    <w:rsid w:val="005D70E9"/>
    <w:rsid w:val="005E3F2F"/>
    <w:rsid w:val="005E474B"/>
    <w:rsid w:val="005F01E7"/>
    <w:rsid w:val="005F1FB3"/>
    <w:rsid w:val="005F2F75"/>
    <w:rsid w:val="005F4F38"/>
    <w:rsid w:val="005F536E"/>
    <w:rsid w:val="0060445D"/>
    <w:rsid w:val="00604672"/>
    <w:rsid w:val="006058C1"/>
    <w:rsid w:val="0061459D"/>
    <w:rsid w:val="00614CC8"/>
    <w:rsid w:val="00615027"/>
    <w:rsid w:val="00615624"/>
    <w:rsid w:val="00621682"/>
    <w:rsid w:val="00624725"/>
    <w:rsid w:val="00624D6F"/>
    <w:rsid w:val="0062519D"/>
    <w:rsid w:val="00627E37"/>
    <w:rsid w:val="00632566"/>
    <w:rsid w:val="00636959"/>
    <w:rsid w:val="0063742B"/>
    <w:rsid w:val="00640AC8"/>
    <w:rsid w:val="00644AA3"/>
    <w:rsid w:val="00653F88"/>
    <w:rsid w:val="0065666A"/>
    <w:rsid w:val="006567BB"/>
    <w:rsid w:val="0065712C"/>
    <w:rsid w:val="006572F2"/>
    <w:rsid w:val="00657903"/>
    <w:rsid w:val="006610DB"/>
    <w:rsid w:val="00664256"/>
    <w:rsid w:val="006704AF"/>
    <w:rsid w:val="0067198B"/>
    <w:rsid w:val="00672DE9"/>
    <w:rsid w:val="006761B0"/>
    <w:rsid w:val="00676964"/>
    <w:rsid w:val="00680DB8"/>
    <w:rsid w:val="00693473"/>
    <w:rsid w:val="00693C57"/>
    <w:rsid w:val="006A052A"/>
    <w:rsid w:val="006A1453"/>
    <w:rsid w:val="006A21BA"/>
    <w:rsid w:val="006A56B8"/>
    <w:rsid w:val="006A5FB2"/>
    <w:rsid w:val="006B35D6"/>
    <w:rsid w:val="006B40C5"/>
    <w:rsid w:val="006B654E"/>
    <w:rsid w:val="006B67D2"/>
    <w:rsid w:val="006B6E40"/>
    <w:rsid w:val="006B7B04"/>
    <w:rsid w:val="006B7B6A"/>
    <w:rsid w:val="006C4F6B"/>
    <w:rsid w:val="006C7EA3"/>
    <w:rsid w:val="006D033C"/>
    <w:rsid w:val="006D29DE"/>
    <w:rsid w:val="006D2A98"/>
    <w:rsid w:val="006D4688"/>
    <w:rsid w:val="006D586A"/>
    <w:rsid w:val="006D7995"/>
    <w:rsid w:val="006D7A30"/>
    <w:rsid w:val="006E04C0"/>
    <w:rsid w:val="006E175A"/>
    <w:rsid w:val="006E50E8"/>
    <w:rsid w:val="006E6430"/>
    <w:rsid w:val="006E7311"/>
    <w:rsid w:val="006F3E27"/>
    <w:rsid w:val="006F4103"/>
    <w:rsid w:val="006F4726"/>
    <w:rsid w:val="006F61D8"/>
    <w:rsid w:val="00703844"/>
    <w:rsid w:val="007048FF"/>
    <w:rsid w:val="00705B76"/>
    <w:rsid w:val="00710792"/>
    <w:rsid w:val="00712FC7"/>
    <w:rsid w:val="0071564A"/>
    <w:rsid w:val="00721DBB"/>
    <w:rsid w:val="007222B4"/>
    <w:rsid w:val="00722B89"/>
    <w:rsid w:val="007258B6"/>
    <w:rsid w:val="00725F57"/>
    <w:rsid w:val="00730956"/>
    <w:rsid w:val="00732D33"/>
    <w:rsid w:val="00733066"/>
    <w:rsid w:val="00734A52"/>
    <w:rsid w:val="00744AF8"/>
    <w:rsid w:val="00746ED4"/>
    <w:rsid w:val="007518B1"/>
    <w:rsid w:val="007518C6"/>
    <w:rsid w:val="00752198"/>
    <w:rsid w:val="00752ADB"/>
    <w:rsid w:val="00753EC7"/>
    <w:rsid w:val="007541ED"/>
    <w:rsid w:val="007542EF"/>
    <w:rsid w:val="007618F8"/>
    <w:rsid w:val="0076790B"/>
    <w:rsid w:val="00771867"/>
    <w:rsid w:val="00771EA2"/>
    <w:rsid w:val="0077255F"/>
    <w:rsid w:val="00774774"/>
    <w:rsid w:val="00780EED"/>
    <w:rsid w:val="00781E50"/>
    <w:rsid w:val="00784206"/>
    <w:rsid w:val="00784901"/>
    <w:rsid w:val="00787592"/>
    <w:rsid w:val="00787A56"/>
    <w:rsid w:val="00791077"/>
    <w:rsid w:val="00793D5D"/>
    <w:rsid w:val="00795EDC"/>
    <w:rsid w:val="00796C59"/>
    <w:rsid w:val="007A229D"/>
    <w:rsid w:val="007A43E1"/>
    <w:rsid w:val="007A51B4"/>
    <w:rsid w:val="007A7047"/>
    <w:rsid w:val="007B0CF9"/>
    <w:rsid w:val="007B122B"/>
    <w:rsid w:val="007B1436"/>
    <w:rsid w:val="007B599E"/>
    <w:rsid w:val="007C0321"/>
    <w:rsid w:val="007C2244"/>
    <w:rsid w:val="007C2BEB"/>
    <w:rsid w:val="007C372E"/>
    <w:rsid w:val="007D0BB2"/>
    <w:rsid w:val="007D13EC"/>
    <w:rsid w:val="007D42A9"/>
    <w:rsid w:val="007D6C53"/>
    <w:rsid w:val="007D7EED"/>
    <w:rsid w:val="007E131D"/>
    <w:rsid w:val="007E1F6E"/>
    <w:rsid w:val="007E62B8"/>
    <w:rsid w:val="007F132E"/>
    <w:rsid w:val="007F2FEF"/>
    <w:rsid w:val="007F3C49"/>
    <w:rsid w:val="00801DC3"/>
    <w:rsid w:val="00802527"/>
    <w:rsid w:val="008034EA"/>
    <w:rsid w:val="0080501E"/>
    <w:rsid w:val="008071DC"/>
    <w:rsid w:val="0081179F"/>
    <w:rsid w:val="00811D72"/>
    <w:rsid w:val="008125D6"/>
    <w:rsid w:val="00812B0D"/>
    <w:rsid w:val="00812FF5"/>
    <w:rsid w:val="008146B7"/>
    <w:rsid w:val="008149A0"/>
    <w:rsid w:val="00814A41"/>
    <w:rsid w:val="00821F76"/>
    <w:rsid w:val="0082492D"/>
    <w:rsid w:val="008322E1"/>
    <w:rsid w:val="008353BE"/>
    <w:rsid w:val="00840879"/>
    <w:rsid w:val="00842AF5"/>
    <w:rsid w:val="00844BA4"/>
    <w:rsid w:val="00847DE6"/>
    <w:rsid w:val="00850204"/>
    <w:rsid w:val="00850BD1"/>
    <w:rsid w:val="00857980"/>
    <w:rsid w:val="00863F74"/>
    <w:rsid w:val="00864403"/>
    <w:rsid w:val="008651CC"/>
    <w:rsid w:val="00866BED"/>
    <w:rsid w:val="008734B5"/>
    <w:rsid w:val="00875E5E"/>
    <w:rsid w:val="00880B37"/>
    <w:rsid w:val="008843CF"/>
    <w:rsid w:val="0088675F"/>
    <w:rsid w:val="0088768A"/>
    <w:rsid w:val="00890699"/>
    <w:rsid w:val="008953F8"/>
    <w:rsid w:val="00895DE4"/>
    <w:rsid w:val="008A025C"/>
    <w:rsid w:val="008A0FF1"/>
    <w:rsid w:val="008A2378"/>
    <w:rsid w:val="008A2846"/>
    <w:rsid w:val="008A2C5D"/>
    <w:rsid w:val="008A3713"/>
    <w:rsid w:val="008A3C4B"/>
    <w:rsid w:val="008A4604"/>
    <w:rsid w:val="008A4BF1"/>
    <w:rsid w:val="008A5E57"/>
    <w:rsid w:val="008B54E4"/>
    <w:rsid w:val="008B709A"/>
    <w:rsid w:val="008B7EAF"/>
    <w:rsid w:val="008C1B87"/>
    <w:rsid w:val="008D049E"/>
    <w:rsid w:val="008D372C"/>
    <w:rsid w:val="008E3CD9"/>
    <w:rsid w:val="008E6229"/>
    <w:rsid w:val="008F210A"/>
    <w:rsid w:val="008F38B4"/>
    <w:rsid w:val="008F45EC"/>
    <w:rsid w:val="008F767B"/>
    <w:rsid w:val="009005AC"/>
    <w:rsid w:val="00903724"/>
    <w:rsid w:val="009040B9"/>
    <w:rsid w:val="009069A2"/>
    <w:rsid w:val="00906C40"/>
    <w:rsid w:val="00910886"/>
    <w:rsid w:val="0091368A"/>
    <w:rsid w:val="00913D0A"/>
    <w:rsid w:val="0092676B"/>
    <w:rsid w:val="00927045"/>
    <w:rsid w:val="00930017"/>
    <w:rsid w:val="0093148B"/>
    <w:rsid w:val="009323CD"/>
    <w:rsid w:val="00932969"/>
    <w:rsid w:val="00933235"/>
    <w:rsid w:val="00933DA6"/>
    <w:rsid w:val="00934A5E"/>
    <w:rsid w:val="00936AEE"/>
    <w:rsid w:val="009411D7"/>
    <w:rsid w:val="00941BDD"/>
    <w:rsid w:val="00942D8F"/>
    <w:rsid w:val="00955306"/>
    <w:rsid w:val="00960DE9"/>
    <w:rsid w:val="009613EB"/>
    <w:rsid w:val="009631C7"/>
    <w:rsid w:val="00963B2F"/>
    <w:rsid w:val="009656B5"/>
    <w:rsid w:val="00966989"/>
    <w:rsid w:val="00970044"/>
    <w:rsid w:val="009763B5"/>
    <w:rsid w:val="00976F7D"/>
    <w:rsid w:val="00977410"/>
    <w:rsid w:val="00981E4F"/>
    <w:rsid w:val="00983AFB"/>
    <w:rsid w:val="00984148"/>
    <w:rsid w:val="009842FF"/>
    <w:rsid w:val="0098627C"/>
    <w:rsid w:val="009869FF"/>
    <w:rsid w:val="00987F67"/>
    <w:rsid w:val="009905F6"/>
    <w:rsid w:val="0099262C"/>
    <w:rsid w:val="00995AD0"/>
    <w:rsid w:val="009A05B5"/>
    <w:rsid w:val="009A0639"/>
    <w:rsid w:val="009A2E6A"/>
    <w:rsid w:val="009B5096"/>
    <w:rsid w:val="009B6443"/>
    <w:rsid w:val="009B6553"/>
    <w:rsid w:val="009B7EEB"/>
    <w:rsid w:val="009C0695"/>
    <w:rsid w:val="009C1310"/>
    <w:rsid w:val="009C2635"/>
    <w:rsid w:val="009C44DB"/>
    <w:rsid w:val="009C7D6B"/>
    <w:rsid w:val="009D2191"/>
    <w:rsid w:val="009D2CFE"/>
    <w:rsid w:val="009D3A27"/>
    <w:rsid w:val="009D5B26"/>
    <w:rsid w:val="009D60AD"/>
    <w:rsid w:val="009E1A5F"/>
    <w:rsid w:val="009E33C6"/>
    <w:rsid w:val="009E4C7E"/>
    <w:rsid w:val="009E552A"/>
    <w:rsid w:val="009E68F1"/>
    <w:rsid w:val="009E716E"/>
    <w:rsid w:val="009E7E22"/>
    <w:rsid w:val="009F0561"/>
    <w:rsid w:val="009F1DF5"/>
    <w:rsid w:val="009F36BF"/>
    <w:rsid w:val="009F4304"/>
    <w:rsid w:val="009F6134"/>
    <w:rsid w:val="00A00EEA"/>
    <w:rsid w:val="00A01116"/>
    <w:rsid w:val="00A029C5"/>
    <w:rsid w:val="00A0323D"/>
    <w:rsid w:val="00A12FF7"/>
    <w:rsid w:val="00A13009"/>
    <w:rsid w:val="00A1410C"/>
    <w:rsid w:val="00A141FB"/>
    <w:rsid w:val="00A146BB"/>
    <w:rsid w:val="00A1591A"/>
    <w:rsid w:val="00A17155"/>
    <w:rsid w:val="00A1759E"/>
    <w:rsid w:val="00A20099"/>
    <w:rsid w:val="00A2085B"/>
    <w:rsid w:val="00A22352"/>
    <w:rsid w:val="00A23A77"/>
    <w:rsid w:val="00A244EA"/>
    <w:rsid w:val="00A24E80"/>
    <w:rsid w:val="00A30B79"/>
    <w:rsid w:val="00A30F9E"/>
    <w:rsid w:val="00A33CF7"/>
    <w:rsid w:val="00A423CF"/>
    <w:rsid w:val="00A43B74"/>
    <w:rsid w:val="00A44573"/>
    <w:rsid w:val="00A545E0"/>
    <w:rsid w:val="00A57618"/>
    <w:rsid w:val="00A61B5B"/>
    <w:rsid w:val="00A63DD3"/>
    <w:rsid w:val="00A64D33"/>
    <w:rsid w:val="00A70824"/>
    <w:rsid w:val="00A72BD8"/>
    <w:rsid w:val="00A74AF9"/>
    <w:rsid w:val="00A76C05"/>
    <w:rsid w:val="00A8142C"/>
    <w:rsid w:val="00A81625"/>
    <w:rsid w:val="00A83406"/>
    <w:rsid w:val="00A83AEB"/>
    <w:rsid w:val="00A845C3"/>
    <w:rsid w:val="00A92619"/>
    <w:rsid w:val="00A93475"/>
    <w:rsid w:val="00A96579"/>
    <w:rsid w:val="00A972E7"/>
    <w:rsid w:val="00AA1BA0"/>
    <w:rsid w:val="00AA1FDE"/>
    <w:rsid w:val="00AA2E4A"/>
    <w:rsid w:val="00AA6265"/>
    <w:rsid w:val="00AA750E"/>
    <w:rsid w:val="00AB10BD"/>
    <w:rsid w:val="00AB20EA"/>
    <w:rsid w:val="00AB5A8B"/>
    <w:rsid w:val="00AD1C0B"/>
    <w:rsid w:val="00AD36A3"/>
    <w:rsid w:val="00AE38D2"/>
    <w:rsid w:val="00AE5656"/>
    <w:rsid w:val="00AF22B8"/>
    <w:rsid w:val="00AF52EE"/>
    <w:rsid w:val="00AF60A7"/>
    <w:rsid w:val="00B00EA8"/>
    <w:rsid w:val="00B1075C"/>
    <w:rsid w:val="00B11843"/>
    <w:rsid w:val="00B121D6"/>
    <w:rsid w:val="00B14301"/>
    <w:rsid w:val="00B14EBC"/>
    <w:rsid w:val="00B2707B"/>
    <w:rsid w:val="00B27085"/>
    <w:rsid w:val="00B32474"/>
    <w:rsid w:val="00B3439D"/>
    <w:rsid w:val="00B365E4"/>
    <w:rsid w:val="00B431A7"/>
    <w:rsid w:val="00B44B31"/>
    <w:rsid w:val="00B4597F"/>
    <w:rsid w:val="00B45D5F"/>
    <w:rsid w:val="00B50155"/>
    <w:rsid w:val="00B52130"/>
    <w:rsid w:val="00B5499A"/>
    <w:rsid w:val="00B553D6"/>
    <w:rsid w:val="00B55D0D"/>
    <w:rsid w:val="00B56B0C"/>
    <w:rsid w:val="00B601C7"/>
    <w:rsid w:val="00B60887"/>
    <w:rsid w:val="00B637FC"/>
    <w:rsid w:val="00B67841"/>
    <w:rsid w:val="00B70137"/>
    <w:rsid w:val="00B75AC1"/>
    <w:rsid w:val="00B80218"/>
    <w:rsid w:val="00B84321"/>
    <w:rsid w:val="00B95047"/>
    <w:rsid w:val="00BA29B4"/>
    <w:rsid w:val="00BA364D"/>
    <w:rsid w:val="00BA4B1E"/>
    <w:rsid w:val="00BB00A8"/>
    <w:rsid w:val="00BB1416"/>
    <w:rsid w:val="00BB36BE"/>
    <w:rsid w:val="00BB3C2F"/>
    <w:rsid w:val="00BB496E"/>
    <w:rsid w:val="00BB5F41"/>
    <w:rsid w:val="00BB5FAE"/>
    <w:rsid w:val="00BB5FC8"/>
    <w:rsid w:val="00BB7898"/>
    <w:rsid w:val="00BD2298"/>
    <w:rsid w:val="00BD2736"/>
    <w:rsid w:val="00BD4160"/>
    <w:rsid w:val="00BE11E8"/>
    <w:rsid w:val="00BE17DF"/>
    <w:rsid w:val="00BE211B"/>
    <w:rsid w:val="00BE2CC3"/>
    <w:rsid w:val="00BE33C6"/>
    <w:rsid w:val="00BE42A4"/>
    <w:rsid w:val="00BE4713"/>
    <w:rsid w:val="00BE4A21"/>
    <w:rsid w:val="00BF160B"/>
    <w:rsid w:val="00BF4338"/>
    <w:rsid w:val="00BF4500"/>
    <w:rsid w:val="00C012A5"/>
    <w:rsid w:val="00C013B3"/>
    <w:rsid w:val="00C02AC3"/>
    <w:rsid w:val="00C03CFB"/>
    <w:rsid w:val="00C04743"/>
    <w:rsid w:val="00C07266"/>
    <w:rsid w:val="00C11C5D"/>
    <w:rsid w:val="00C12268"/>
    <w:rsid w:val="00C12FCF"/>
    <w:rsid w:val="00C13A14"/>
    <w:rsid w:val="00C1532A"/>
    <w:rsid w:val="00C175A3"/>
    <w:rsid w:val="00C2307F"/>
    <w:rsid w:val="00C267F7"/>
    <w:rsid w:val="00C27A10"/>
    <w:rsid w:val="00C32EFA"/>
    <w:rsid w:val="00C33AEF"/>
    <w:rsid w:val="00C40ADC"/>
    <w:rsid w:val="00C41B7B"/>
    <w:rsid w:val="00C41CC0"/>
    <w:rsid w:val="00C43BDC"/>
    <w:rsid w:val="00C45E68"/>
    <w:rsid w:val="00C46C9A"/>
    <w:rsid w:val="00C550FD"/>
    <w:rsid w:val="00C55DB0"/>
    <w:rsid w:val="00C6139D"/>
    <w:rsid w:val="00C62DBC"/>
    <w:rsid w:val="00C65B4E"/>
    <w:rsid w:val="00C6617A"/>
    <w:rsid w:val="00C670C1"/>
    <w:rsid w:val="00C67B3B"/>
    <w:rsid w:val="00C7389F"/>
    <w:rsid w:val="00C762AA"/>
    <w:rsid w:val="00C90D7B"/>
    <w:rsid w:val="00C93BDB"/>
    <w:rsid w:val="00C94582"/>
    <w:rsid w:val="00C945B0"/>
    <w:rsid w:val="00CA04CD"/>
    <w:rsid w:val="00CA24CF"/>
    <w:rsid w:val="00CA567C"/>
    <w:rsid w:val="00CA5905"/>
    <w:rsid w:val="00CC0CCF"/>
    <w:rsid w:val="00CD3CDD"/>
    <w:rsid w:val="00CD4AC4"/>
    <w:rsid w:val="00CD704A"/>
    <w:rsid w:val="00CE0211"/>
    <w:rsid w:val="00CE4389"/>
    <w:rsid w:val="00CE50BC"/>
    <w:rsid w:val="00CE6CC7"/>
    <w:rsid w:val="00CE7525"/>
    <w:rsid w:val="00CE78EB"/>
    <w:rsid w:val="00CE7A70"/>
    <w:rsid w:val="00CF2208"/>
    <w:rsid w:val="00CF2B14"/>
    <w:rsid w:val="00D063BF"/>
    <w:rsid w:val="00D115C2"/>
    <w:rsid w:val="00D1300B"/>
    <w:rsid w:val="00D13809"/>
    <w:rsid w:val="00D138E1"/>
    <w:rsid w:val="00D13A5B"/>
    <w:rsid w:val="00D15682"/>
    <w:rsid w:val="00D156DC"/>
    <w:rsid w:val="00D15F3D"/>
    <w:rsid w:val="00D202BA"/>
    <w:rsid w:val="00D20F48"/>
    <w:rsid w:val="00D24440"/>
    <w:rsid w:val="00D246B1"/>
    <w:rsid w:val="00D256D4"/>
    <w:rsid w:val="00D3179B"/>
    <w:rsid w:val="00D33FEB"/>
    <w:rsid w:val="00D37750"/>
    <w:rsid w:val="00D44A2C"/>
    <w:rsid w:val="00D45660"/>
    <w:rsid w:val="00D53E63"/>
    <w:rsid w:val="00D57856"/>
    <w:rsid w:val="00D61F91"/>
    <w:rsid w:val="00D63BB3"/>
    <w:rsid w:val="00D64EBE"/>
    <w:rsid w:val="00D662E9"/>
    <w:rsid w:val="00D7033F"/>
    <w:rsid w:val="00D712BD"/>
    <w:rsid w:val="00D73151"/>
    <w:rsid w:val="00D743B5"/>
    <w:rsid w:val="00D74FC2"/>
    <w:rsid w:val="00D77E82"/>
    <w:rsid w:val="00D8496A"/>
    <w:rsid w:val="00D8515E"/>
    <w:rsid w:val="00D90BF1"/>
    <w:rsid w:val="00D91221"/>
    <w:rsid w:val="00D93684"/>
    <w:rsid w:val="00DA47D9"/>
    <w:rsid w:val="00DA4B76"/>
    <w:rsid w:val="00DA714E"/>
    <w:rsid w:val="00DB15FA"/>
    <w:rsid w:val="00DB1626"/>
    <w:rsid w:val="00DC124F"/>
    <w:rsid w:val="00DC248F"/>
    <w:rsid w:val="00DC2658"/>
    <w:rsid w:val="00DD4579"/>
    <w:rsid w:val="00DE1130"/>
    <w:rsid w:val="00DE171C"/>
    <w:rsid w:val="00DE1E8C"/>
    <w:rsid w:val="00DE3497"/>
    <w:rsid w:val="00DE61AA"/>
    <w:rsid w:val="00DF2345"/>
    <w:rsid w:val="00DF69F2"/>
    <w:rsid w:val="00DF7CA2"/>
    <w:rsid w:val="00E01732"/>
    <w:rsid w:val="00E03600"/>
    <w:rsid w:val="00E048FE"/>
    <w:rsid w:val="00E0666A"/>
    <w:rsid w:val="00E110E2"/>
    <w:rsid w:val="00E1122C"/>
    <w:rsid w:val="00E11F49"/>
    <w:rsid w:val="00E13122"/>
    <w:rsid w:val="00E13EF7"/>
    <w:rsid w:val="00E24985"/>
    <w:rsid w:val="00E270F3"/>
    <w:rsid w:val="00E301DF"/>
    <w:rsid w:val="00E305B5"/>
    <w:rsid w:val="00E310F0"/>
    <w:rsid w:val="00E36D94"/>
    <w:rsid w:val="00E3706A"/>
    <w:rsid w:val="00E37355"/>
    <w:rsid w:val="00E4057E"/>
    <w:rsid w:val="00E419B1"/>
    <w:rsid w:val="00E4269A"/>
    <w:rsid w:val="00E4735C"/>
    <w:rsid w:val="00E476C3"/>
    <w:rsid w:val="00E47E1A"/>
    <w:rsid w:val="00E50FDD"/>
    <w:rsid w:val="00E51D3A"/>
    <w:rsid w:val="00E52592"/>
    <w:rsid w:val="00E529DE"/>
    <w:rsid w:val="00E578BF"/>
    <w:rsid w:val="00E636E4"/>
    <w:rsid w:val="00E658A3"/>
    <w:rsid w:val="00E70381"/>
    <w:rsid w:val="00E711A0"/>
    <w:rsid w:val="00E71EC1"/>
    <w:rsid w:val="00E72B69"/>
    <w:rsid w:val="00E768C5"/>
    <w:rsid w:val="00E84383"/>
    <w:rsid w:val="00E87A02"/>
    <w:rsid w:val="00E930AE"/>
    <w:rsid w:val="00E954C1"/>
    <w:rsid w:val="00EA0145"/>
    <w:rsid w:val="00EA24E1"/>
    <w:rsid w:val="00EB2CA9"/>
    <w:rsid w:val="00EB3CE7"/>
    <w:rsid w:val="00EB7306"/>
    <w:rsid w:val="00EC6845"/>
    <w:rsid w:val="00EC7466"/>
    <w:rsid w:val="00ED173A"/>
    <w:rsid w:val="00ED5062"/>
    <w:rsid w:val="00ED72F8"/>
    <w:rsid w:val="00EE46C3"/>
    <w:rsid w:val="00EE4C55"/>
    <w:rsid w:val="00EE6038"/>
    <w:rsid w:val="00EE77E6"/>
    <w:rsid w:val="00EF0417"/>
    <w:rsid w:val="00EF594A"/>
    <w:rsid w:val="00EF667F"/>
    <w:rsid w:val="00F0660C"/>
    <w:rsid w:val="00F071E9"/>
    <w:rsid w:val="00F11787"/>
    <w:rsid w:val="00F12CC1"/>
    <w:rsid w:val="00F1390A"/>
    <w:rsid w:val="00F1664A"/>
    <w:rsid w:val="00F234D8"/>
    <w:rsid w:val="00F30996"/>
    <w:rsid w:val="00F34A07"/>
    <w:rsid w:val="00F3641B"/>
    <w:rsid w:val="00F4198B"/>
    <w:rsid w:val="00F43255"/>
    <w:rsid w:val="00F4551B"/>
    <w:rsid w:val="00F52626"/>
    <w:rsid w:val="00F5419E"/>
    <w:rsid w:val="00F541BE"/>
    <w:rsid w:val="00F54639"/>
    <w:rsid w:val="00F63B8E"/>
    <w:rsid w:val="00F73FFA"/>
    <w:rsid w:val="00F773BC"/>
    <w:rsid w:val="00F82C3C"/>
    <w:rsid w:val="00F830B6"/>
    <w:rsid w:val="00F83E97"/>
    <w:rsid w:val="00F840AC"/>
    <w:rsid w:val="00F84E98"/>
    <w:rsid w:val="00F905B5"/>
    <w:rsid w:val="00F93F02"/>
    <w:rsid w:val="00F95D03"/>
    <w:rsid w:val="00F96267"/>
    <w:rsid w:val="00F979B4"/>
    <w:rsid w:val="00FA00AA"/>
    <w:rsid w:val="00FA4B9E"/>
    <w:rsid w:val="00FA7613"/>
    <w:rsid w:val="00FB4CE1"/>
    <w:rsid w:val="00FB5E28"/>
    <w:rsid w:val="00FC110C"/>
    <w:rsid w:val="00FC1DC1"/>
    <w:rsid w:val="00FC1EA2"/>
    <w:rsid w:val="00FC206D"/>
    <w:rsid w:val="00FC2A77"/>
    <w:rsid w:val="00FD27D3"/>
    <w:rsid w:val="00FD3520"/>
    <w:rsid w:val="00FD7955"/>
    <w:rsid w:val="00FE0534"/>
    <w:rsid w:val="00FE068C"/>
    <w:rsid w:val="00FE1775"/>
    <w:rsid w:val="00FE1A2E"/>
    <w:rsid w:val="00FE4606"/>
    <w:rsid w:val="00FF0E01"/>
    <w:rsid w:val="00FF3093"/>
    <w:rsid w:val="00FF4737"/>
    <w:rsid w:val="010371BB"/>
    <w:rsid w:val="01062EEC"/>
    <w:rsid w:val="01082CA6"/>
    <w:rsid w:val="01192DE9"/>
    <w:rsid w:val="011C304C"/>
    <w:rsid w:val="011C6989"/>
    <w:rsid w:val="011D3119"/>
    <w:rsid w:val="011D604B"/>
    <w:rsid w:val="0123017A"/>
    <w:rsid w:val="012515C4"/>
    <w:rsid w:val="01341807"/>
    <w:rsid w:val="013815D1"/>
    <w:rsid w:val="013D4B60"/>
    <w:rsid w:val="013D5042"/>
    <w:rsid w:val="014130A5"/>
    <w:rsid w:val="014B3CBF"/>
    <w:rsid w:val="01551F67"/>
    <w:rsid w:val="0158163F"/>
    <w:rsid w:val="016959B8"/>
    <w:rsid w:val="01764D4E"/>
    <w:rsid w:val="01882B4E"/>
    <w:rsid w:val="018C33F1"/>
    <w:rsid w:val="01936081"/>
    <w:rsid w:val="01A323B4"/>
    <w:rsid w:val="01A40D2B"/>
    <w:rsid w:val="01A95CE7"/>
    <w:rsid w:val="01B6046E"/>
    <w:rsid w:val="01C111FC"/>
    <w:rsid w:val="01C27C5F"/>
    <w:rsid w:val="01C45971"/>
    <w:rsid w:val="01D21581"/>
    <w:rsid w:val="01EA2E96"/>
    <w:rsid w:val="01EF61C7"/>
    <w:rsid w:val="01F136A1"/>
    <w:rsid w:val="01F75A05"/>
    <w:rsid w:val="01FA068B"/>
    <w:rsid w:val="02002399"/>
    <w:rsid w:val="020B1EEC"/>
    <w:rsid w:val="020E38D2"/>
    <w:rsid w:val="021F6013"/>
    <w:rsid w:val="02221A32"/>
    <w:rsid w:val="0225782F"/>
    <w:rsid w:val="02263013"/>
    <w:rsid w:val="02315C3E"/>
    <w:rsid w:val="02331ABF"/>
    <w:rsid w:val="023C4E17"/>
    <w:rsid w:val="02401D41"/>
    <w:rsid w:val="0242527E"/>
    <w:rsid w:val="024640EF"/>
    <w:rsid w:val="025325A9"/>
    <w:rsid w:val="02581379"/>
    <w:rsid w:val="0259171D"/>
    <w:rsid w:val="026705BA"/>
    <w:rsid w:val="026F1259"/>
    <w:rsid w:val="026F71B4"/>
    <w:rsid w:val="0271199E"/>
    <w:rsid w:val="027475EC"/>
    <w:rsid w:val="02811BF6"/>
    <w:rsid w:val="02826F70"/>
    <w:rsid w:val="028377C1"/>
    <w:rsid w:val="028516DE"/>
    <w:rsid w:val="028C0C9B"/>
    <w:rsid w:val="029D6D9D"/>
    <w:rsid w:val="02A01FAF"/>
    <w:rsid w:val="02B27C63"/>
    <w:rsid w:val="02B5111B"/>
    <w:rsid w:val="02BC42D3"/>
    <w:rsid w:val="02BD239A"/>
    <w:rsid w:val="02BD4622"/>
    <w:rsid w:val="02BE3A76"/>
    <w:rsid w:val="02C02492"/>
    <w:rsid w:val="02C15FAF"/>
    <w:rsid w:val="02CB4597"/>
    <w:rsid w:val="02CF4B47"/>
    <w:rsid w:val="02D35159"/>
    <w:rsid w:val="02D45050"/>
    <w:rsid w:val="02D673D7"/>
    <w:rsid w:val="02DE16FB"/>
    <w:rsid w:val="02DE1CFF"/>
    <w:rsid w:val="02E02F6C"/>
    <w:rsid w:val="02E44921"/>
    <w:rsid w:val="02EE780E"/>
    <w:rsid w:val="02F1741B"/>
    <w:rsid w:val="02FE7C33"/>
    <w:rsid w:val="0302293D"/>
    <w:rsid w:val="03064E69"/>
    <w:rsid w:val="031C7BF8"/>
    <w:rsid w:val="031F1FB7"/>
    <w:rsid w:val="032C5B6F"/>
    <w:rsid w:val="032D174F"/>
    <w:rsid w:val="0331400B"/>
    <w:rsid w:val="03367BC0"/>
    <w:rsid w:val="0343496E"/>
    <w:rsid w:val="034720E3"/>
    <w:rsid w:val="03497852"/>
    <w:rsid w:val="034B1E1C"/>
    <w:rsid w:val="034B57DC"/>
    <w:rsid w:val="034B5F9D"/>
    <w:rsid w:val="03561FC7"/>
    <w:rsid w:val="035C152F"/>
    <w:rsid w:val="0361265C"/>
    <w:rsid w:val="0363479C"/>
    <w:rsid w:val="036864C7"/>
    <w:rsid w:val="036E519D"/>
    <w:rsid w:val="03B37F76"/>
    <w:rsid w:val="03B900C6"/>
    <w:rsid w:val="03BF6CEB"/>
    <w:rsid w:val="03CC5D27"/>
    <w:rsid w:val="03CD1A9F"/>
    <w:rsid w:val="03CF5521"/>
    <w:rsid w:val="03CF6CBD"/>
    <w:rsid w:val="03D1158F"/>
    <w:rsid w:val="03D4620C"/>
    <w:rsid w:val="03D62AE1"/>
    <w:rsid w:val="03DA2BB1"/>
    <w:rsid w:val="03DA54DB"/>
    <w:rsid w:val="03DE572B"/>
    <w:rsid w:val="03E13BA9"/>
    <w:rsid w:val="03E16D19"/>
    <w:rsid w:val="03E42EC3"/>
    <w:rsid w:val="03E74990"/>
    <w:rsid w:val="03EE5AB7"/>
    <w:rsid w:val="04016B5A"/>
    <w:rsid w:val="040177F9"/>
    <w:rsid w:val="040273C7"/>
    <w:rsid w:val="04030E08"/>
    <w:rsid w:val="0404728D"/>
    <w:rsid w:val="040C25C7"/>
    <w:rsid w:val="040C3C43"/>
    <w:rsid w:val="04171AC9"/>
    <w:rsid w:val="042606D8"/>
    <w:rsid w:val="043802A4"/>
    <w:rsid w:val="043B6A03"/>
    <w:rsid w:val="04477568"/>
    <w:rsid w:val="04577F7A"/>
    <w:rsid w:val="045A64B0"/>
    <w:rsid w:val="045A7FDB"/>
    <w:rsid w:val="046645E8"/>
    <w:rsid w:val="046E5030"/>
    <w:rsid w:val="04706FFA"/>
    <w:rsid w:val="04717BBA"/>
    <w:rsid w:val="04770389"/>
    <w:rsid w:val="047C4B44"/>
    <w:rsid w:val="048F030B"/>
    <w:rsid w:val="0492762A"/>
    <w:rsid w:val="04A12121"/>
    <w:rsid w:val="04A44732"/>
    <w:rsid w:val="04A45837"/>
    <w:rsid w:val="04AC71BF"/>
    <w:rsid w:val="04AE288C"/>
    <w:rsid w:val="04B41486"/>
    <w:rsid w:val="04B54A0D"/>
    <w:rsid w:val="04BE3A14"/>
    <w:rsid w:val="04C44EBC"/>
    <w:rsid w:val="04C46FD3"/>
    <w:rsid w:val="04C84019"/>
    <w:rsid w:val="04C901A0"/>
    <w:rsid w:val="04CB2483"/>
    <w:rsid w:val="04D51A72"/>
    <w:rsid w:val="04D94C43"/>
    <w:rsid w:val="04E470A0"/>
    <w:rsid w:val="04E80AF4"/>
    <w:rsid w:val="04ED0932"/>
    <w:rsid w:val="04FE6234"/>
    <w:rsid w:val="05037A3D"/>
    <w:rsid w:val="050E6C6B"/>
    <w:rsid w:val="0513091C"/>
    <w:rsid w:val="052F19AC"/>
    <w:rsid w:val="0537167E"/>
    <w:rsid w:val="053B291D"/>
    <w:rsid w:val="053C071E"/>
    <w:rsid w:val="05412C22"/>
    <w:rsid w:val="0547304B"/>
    <w:rsid w:val="054D0A48"/>
    <w:rsid w:val="05514B15"/>
    <w:rsid w:val="055B79DB"/>
    <w:rsid w:val="055D55BB"/>
    <w:rsid w:val="055E2512"/>
    <w:rsid w:val="056A3A4A"/>
    <w:rsid w:val="056F6A33"/>
    <w:rsid w:val="05712D2B"/>
    <w:rsid w:val="057E05BB"/>
    <w:rsid w:val="05860158"/>
    <w:rsid w:val="058C3828"/>
    <w:rsid w:val="05984A67"/>
    <w:rsid w:val="05B35DC7"/>
    <w:rsid w:val="05B5681C"/>
    <w:rsid w:val="05BF561C"/>
    <w:rsid w:val="05C0390D"/>
    <w:rsid w:val="05D62E8D"/>
    <w:rsid w:val="05D9297D"/>
    <w:rsid w:val="05D9472B"/>
    <w:rsid w:val="05DA3375"/>
    <w:rsid w:val="05DC1A86"/>
    <w:rsid w:val="05EA6BDC"/>
    <w:rsid w:val="05EE165E"/>
    <w:rsid w:val="05F256D3"/>
    <w:rsid w:val="05FD367F"/>
    <w:rsid w:val="06061A77"/>
    <w:rsid w:val="06071298"/>
    <w:rsid w:val="060864CE"/>
    <w:rsid w:val="06093063"/>
    <w:rsid w:val="06135268"/>
    <w:rsid w:val="06147114"/>
    <w:rsid w:val="0620373E"/>
    <w:rsid w:val="06212DFA"/>
    <w:rsid w:val="06243428"/>
    <w:rsid w:val="062B038D"/>
    <w:rsid w:val="062B08C3"/>
    <w:rsid w:val="062C0ADD"/>
    <w:rsid w:val="062E0F1B"/>
    <w:rsid w:val="06342568"/>
    <w:rsid w:val="063615FA"/>
    <w:rsid w:val="06381F92"/>
    <w:rsid w:val="063C40A4"/>
    <w:rsid w:val="0647402A"/>
    <w:rsid w:val="06590C83"/>
    <w:rsid w:val="0659586C"/>
    <w:rsid w:val="065B15E4"/>
    <w:rsid w:val="06605758"/>
    <w:rsid w:val="067505D8"/>
    <w:rsid w:val="067526A6"/>
    <w:rsid w:val="0680167F"/>
    <w:rsid w:val="068A1392"/>
    <w:rsid w:val="06954E31"/>
    <w:rsid w:val="069D7692"/>
    <w:rsid w:val="06A270EF"/>
    <w:rsid w:val="06A677B9"/>
    <w:rsid w:val="06AB5284"/>
    <w:rsid w:val="06B1320B"/>
    <w:rsid w:val="06B63904"/>
    <w:rsid w:val="06C12B65"/>
    <w:rsid w:val="06E03C7E"/>
    <w:rsid w:val="06E83078"/>
    <w:rsid w:val="06E85E46"/>
    <w:rsid w:val="06F35919"/>
    <w:rsid w:val="06F62508"/>
    <w:rsid w:val="06FC2033"/>
    <w:rsid w:val="06FE1AB7"/>
    <w:rsid w:val="06FF66D7"/>
    <w:rsid w:val="07034156"/>
    <w:rsid w:val="07035F04"/>
    <w:rsid w:val="07260EC1"/>
    <w:rsid w:val="072613FB"/>
    <w:rsid w:val="072C68A5"/>
    <w:rsid w:val="07347FFB"/>
    <w:rsid w:val="07377166"/>
    <w:rsid w:val="073E7CFE"/>
    <w:rsid w:val="07452C81"/>
    <w:rsid w:val="075A53C3"/>
    <w:rsid w:val="075A62B7"/>
    <w:rsid w:val="075C126B"/>
    <w:rsid w:val="075C6991"/>
    <w:rsid w:val="077D0067"/>
    <w:rsid w:val="077F56B1"/>
    <w:rsid w:val="078901E4"/>
    <w:rsid w:val="078A6EEB"/>
    <w:rsid w:val="07910380"/>
    <w:rsid w:val="07AF1C9A"/>
    <w:rsid w:val="07B214F5"/>
    <w:rsid w:val="07C074E0"/>
    <w:rsid w:val="07C1727A"/>
    <w:rsid w:val="07C31380"/>
    <w:rsid w:val="07D70D3F"/>
    <w:rsid w:val="07DE099F"/>
    <w:rsid w:val="07ED6220"/>
    <w:rsid w:val="07F4381B"/>
    <w:rsid w:val="07FA5777"/>
    <w:rsid w:val="08002B8A"/>
    <w:rsid w:val="08063EAD"/>
    <w:rsid w:val="0808579C"/>
    <w:rsid w:val="080F23F0"/>
    <w:rsid w:val="0812606E"/>
    <w:rsid w:val="08163C72"/>
    <w:rsid w:val="0817778D"/>
    <w:rsid w:val="08194B4B"/>
    <w:rsid w:val="0819601A"/>
    <w:rsid w:val="081D3DD8"/>
    <w:rsid w:val="08237A77"/>
    <w:rsid w:val="082A3964"/>
    <w:rsid w:val="082F0F7A"/>
    <w:rsid w:val="082F519B"/>
    <w:rsid w:val="08326432"/>
    <w:rsid w:val="083A5ECB"/>
    <w:rsid w:val="084E30A2"/>
    <w:rsid w:val="085F7C0C"/>
    <w:rsid w:val="0860364E"/>
    <w:rsid w:val="086A6259"/>
    <w:rsid w:val="086C1FAE"/>
    <w:rsid w:val="08713679"/>
    <w:rsid w:val="08744869"/>
    <w:rsid w:val="087B010A"/>
    <w:rsid w:val="087B58B7"/>
    <w:rsid w:val="08811C5D"/>
    <w:rsid w:val="089B0DD7"/>
    <w:rsid w:val="08A75D24"/>
    <w:rsid w:val="08AE1E9F"/>
    <w:rsid w:val="08B35707"/>
    <w:rsid w:val="08C40524"/>
    <w:rsid w:val="08C66D57"/>
    <w:rsid w:val="08E6791A"/>
    <w:rsid w:val="08EB68E2"/>
    <w:rsid w:val="08F5187C"/>
    <w:rsid w:val="08FA6E92"/>
    <w:rsid w:val="09050F2A"/>
    <w:rsid w:val="09084F0E"/>
    <w:rsid w:val="091A1ACB"/>
    <w:rsid w:val="092B34F0"/>
    <w:rsid w:val="092C5056"/>
    <w:rsid w:val="093F4FE1"/>
    <w:rsid w:val="09440A55"/>
    <w:rsid w:val="09473D4E"/>
    <w:rsid w:val="095704C9"/>
    <w:rsid w:val="095A1A27"/>
    <w:rsid w:val="095C020E"/>
    <w:rsid w:val="0963675E"/>
    <w:rsid w:val="09644D45"/>
    <w:rsid w:val="096B078A"/>
    <w:rsid w:val="097D1872"/>
    <w:rsid w:val="097E08FA"/>
    <w:rsid w:val="0991028F"/>
    <w:rsid w:val="09931F0D"/>
    <w:rsid w:val="09941861"/>
    <w:rsid w:val="09945A2E"/>
    <w:rsid w:val="09965FEB"/>
    <w:rsid w:val="0997061D"/>
    <w:rsid w:val="099E75EF"/>
    <w:rsid w:val="09A07F7C"/>
    <w:rsid w:val="09C4208A"/>
    <w:rsid w:val="09CA7BB1"/>
    <w:rsid w:val="09D85F19"/>
    <w:rsid w:val="09DB3B80"/>
    <w:rsid w:val="09E60169"/>
    <w:rsid w:val="09ED78D6"/>
    <w:rsid w:val="09F2781E"/>
    <w:rsid w:val="09F91E47"/>
    <w:rsid w:val="0A0B329C"/>
    <w:rsid w:val="0A134F4A"/>
    <w:rsid w:val="0A1E2005"/>
    <w:rsid w:val="0A1E432D"/>
    <w:rsid w:val="0A2763AD"/>
    <w:rsid w:val="0A2D737A"/>
    <w:rsid w:val="0A33354D"/>
    <w:rsid w:val="0A3D76D9"/>
    <w:rsid w:val="0A452A25"/>
    <w:rsid w:val="0A48703A"/>
    <w:rsid w:val="0A4F1773"/>
    <w:rsid w:val="0A5371A2"/>
    <w:rsid w:val="0A53728B"/>
    <w:rsid w:val="0A5946DA"/>
    <w:rsid w:val="0A6A44DA"/>
    <w:rsid w:val="0A6E7C9F"/>
    <w:rsid w:val="0A703B46"/>
    <w:rsid w:val="0A7E5763"/>
    <w:rsid w:val="0A854F75"/>
    <w:rsid w:val="0A972C26"/>
    <w:rsid w:val="0A984BB5"/>
    <w:rsid w:val="0AA1156B"/>
    <w:rsid w:val="0AA205F2"/>
    <w:rsid w:val="0AA35095"/>
    <w:rsid w:val="0AA458A3"/>
    <w:rsid w:val="0AA86476"/>
    <w:rsid w:val="0AAE02FC"/>
    <w:rsid w:val="0AB81E6D"/>
    <w:rsid w:val="0AB94B2B"/>
    <w:rsid w:val="0ABC7AC6"/>
    <w:rsid w:val="0ABD3FB0"/>
    <w:rsid w:val="0ABE53B8"/>
    <w:rsid w:val="0AD85306"/>
    <w:rsid w:val="0AE149DB"/>
    <w:rsid w:val="0AE649C5"/>
    <w:rsid w:val="0AED36BB"/>
    <w:rsid w:val="0AF541D7"/>
    <w:rsid w:val="0B05010D"/>
    <w:rsid w:val="0B100BEF"/>
    <w:rsid w:val="0B19281E"/>
    <w:rsid w:val="0B197C79"/>
    <w:rsid w:val="0B287EC6"/>
    <w:rsid w:val="0B2E4933"/>
    <w:rsid w:val="0B307915"/>
    <w:rsid w:val="0B3663D5"/>
    <w:rsid w:val="0B3B2E41"/>
    <w:rsid w:val="0B41754C"/>
    <w:rsid w:val="0B435A6B"/>
    <w:rsid w:val="0B8321F3"/>
    <w:rsid w:val="0BBB1D9A"/>
    <w:rsid w:val="0BCF0AAA"/>
    <w:rsid w:val="0BD95847"/>
    <w:rsid w:val="0BDC50AE"/>
    <w:rsid w:val="0BE75A6E"/>
    <w:rsid w:val="0BE856C8"/>
    <w:rsid w:val="0BEC6416"/>
    <w:rsid w:val="0BEF4CF1"/>
    <w:rsid w:val="0BF012E4"/>
    <w:rsid w:val="0BF54E7E"/>
    <w:rsid w:val="0BF62F97"/>
    <w:rsid w:val="0BFB4B05"/>
    <w:rsid w:val="0BFB56CD"/>
    <w:rsid w:val="0BFF7892"/>
    <w:rsid w:val="0C0369A6"/>
    <w:rsid w:val="0C0A4633"/>
    <w:rsid w:val="0C0B585A"/>
    <w:rsid w:val="0C1D6CDF"/>
    <w:rsid w:val="0C1F6B9D"/>
    <w:rsid w:val="0C313725"/>
    <w:rsid w:val="0C3B6BCC"/>
    <w:rsid w:val="0C3B72A6"/>
    <w:rsid w:val="0C3D5272"/>
    <w:rsid w:val="0C3E24A1"/>
    <w:rsid w:val="0C50326D"/>
    <w:rsid w:val="0C5138FA"/>
    <w:rsid w:val="0C533E00"/>
    <w:rsid w:val="0C591A2D"/>
    <w:rsid w:val="0C6824E0"/>
    <w:rsid w:val="0C730FEF"/>
    <w:rsid w:val="0C787AEB"/>
    <w:rsid w:val="0C834C29"/>
    <w:rsid w:val="0C8C6ED6"/>
    <w:rsid w:val="0C8D67DE"/>
    <w:rsid w:val="0C944427"/>
    <w:rsid w:val="0C952CAB"/>
    <w:rsid w:val="0CAA6E21"/>
    <w:rsid w:val="0CBE467B"/>
    <w:rsid w:val="0CC42AAD"/>
    <w:rsid w:val="0CC83AF3"/>
    <w:rsid w:val="0CCC6D98"/>
    <w:rsid w:val="0CDC358F"/>
    <w:rsid w:val="0CE46515"/>
    <w:rsid w:val="0CEC479A"/>
    <w:rsid w:val="0CFB58CF"/>
    <w:rsid w:val="0D1E121F"/>
    <w:rsid w:val="0D237ADB"/>
    <w:rsid w:val="0D2C0055"/>
    <w:rsid w:val="0D354DA4"/>
    <w:rsid w:val="0D393968"/>
    <w:rsid w:val="0D3F70F9"/>
    <w:rsid w:val="0D482C64"/>
    <w:rsid w:val="0D577977"/>
    <w:rsid w:val="0D585A15"/>
    <w:rsid w:val="0D700D2C"/>
    <w:rsid w:val="0D7561C7"/>
    <w:rsid w:val="0D7C43EF"/>
    <w:rsid w:val="0D826142"/>
    <w:rsid w:val="0D890325"/>
    <w:rsid w:val="0D8951CB"/>
    <w:rsid w:val="0D975B9D"/>
    <w:rsid w:val="0D9E6986"/>
    <w:rsid w:val="0DA9091F"/>
    <w:rsid w:val="0DB43D50"/>
    <w:rsid w:val="0DC22DC3"/>
    <w:rsid w:val="0DCE08EE"/>
    <w:rsid w:val="0DD044B5"/>
    <w:rsid w:val="0DD36B7B"/>
    <w:rsid w:val="0DDA5DBB"/>
    <w:rsid w:val="0DE1523D"/>
    <w:rsid w:val="0DE379FE"/>
    <w:rsid w:val="0DE620DB"/>
    <w:rsid w:val="0DEC4969"/>
    <w:rsid w:val="0DF20642"/>
    <w:rsid w:val="0DF47739"/>
    <w:rsid w:val="0DFA5B87"/>
    <w:rsid w:val="0DFC2A39"/>
    <w:rsid w:val="0DFE7425"/>
    <w:rsid w:val="0E0407B3"/>
    <w:rsid w:val="0E06771F"/>
    <w:rsid w:val="0E0F1AF9"/>
    <w:rsid w:val="0E0F5F92"/>
    <w:rsid w:val="0E210639"/>
    <w:rsid w:val="0E2B2908"/>
    <w:rsid w:val="0E326B32"/>
    <w:rsid w:val="0E335085"/>
    <w:rsid w:val="0E3B4797"/>
    <w:rsid w:val="0E437A71"/>
    <w:rsid w:val="0E47393D"/>
    <w:rsid w:val="0E4F6875"/>
    <w:rsid w:val="0E547045"/>
    <w:rsid w:val="0E814D2A"/>
    <w:rsid w:val="0E8A3350"/>
    <w:rsid w:val="0E8A6ECC"/>
    <w:rsid w:val="0E8F32CB"/>
    <w:rsid w:val="0E963BB4"/>
    <w:rsid w:val="0EA224A6"/>
    <w:rsid w:val="0EC411CA"/>
    <w:rsid w:val="0EC56195"/>
    <w:rsid w:val="0ECE5049"/>
    <w:rsid w:val="0ED36CC8"/>
    <w:rsid w:val="0ED62150"/>
    <w:rsid w:val="0ED64424"/>
    <w:rsid w:val="0ED833B3"/>
    <w:rsid w:val="0EE20AF5"/>
    <w:rsid w:val="0EE40AE9"/>
    <w:rsid w:val="0EFB1BB6"/>
    <w:rsid w:val="0F01599E"/>
    <w:rsid w:val="0F162701"/>
    <w:rsid w:val="0F1A2D86"/>
    <w:rsid w:val="0F1B29B9"/>
    <w:rsid w:val="0F24110D"/>
    <w:rsid w:val="0F242488"/>
    <w:rsid w:val="0F354616"/>
    <w:rsid w:val="0F421AAD"/>
    <w:rsid w:val="0F451641"/>
    <w:rsid w:val="0F460A6E"/>
    <w:rsid w:val="0F4A5DD0"/>
    <w:rsid w:val="0F550630"/>
    <w:rsid w:val="0F574D24"/>
    <w:rsid w:val="0F841BAC"/>
    <w:rsid w:val="0F854E68"/>
    <w:rsid w:val="0F860B8B"/>
    <w:rsid w:val="0F8A1CAD"/>
    <w:rsid w:val="0F8A2F22"/>
    <w:rsid w:val="0F8D2B68"/>
    <w:rsid w:val="0F9303EE"/>
    <w:rsid w:val="0F981BDF"/>
    <w:rsid w:val="0FA4558B"/>
    <w:rsid w:val="0FA57D4D"/>
    <w:rsid w:val="0FA90635"/>
    <w:rsid w:val="0FA93856"/>
    <w:rsid w:val="0FBA096D"/>
    <w:rsid w:val="0FC540AB"/>
    <w:rsid w:val="0FD017A1"/>
    <w:rsid w:val="0FD3668F"/>
    <w:rsid w:val="0FE824EF"/>
    <w:rsid w:val="0FF27753"/>
    <w:rsid w:val="10052FE5"/>
    <w:rsid w:val="100D13FD"/>
    <w:rsid w:val="10107CC3"/>
    <w:rsid w:val="10192A98"/>
    <w:rsid w:val="1021542F"/>
    <w:rsid w:val="102D4CB5"/>
    <w:rsid w:val="10357CBE"/>
    <w:rsid w:val="10386820"/>
    <w:rsid w:val="104336FE"/>
    <w:rsid w:val="10537791"/>
    <w:rsid w:val="10562B77"/>
    <w:rsid w:val="10593038"/>
    <w:rsid w:val="10596301"/>
    <w:rsid w:val="106F0166"/>
    <w:rsid w:val="10796169"/>
    <w:rsid w:val="107E2A9F"/>
    <w:rsid w:val="10894684"/>
    <w:rsid w:val="108B3B2D"/>
    <w:rsid w:val="108C273B"/>
    <w:rsid w:val="109543D5"/>
    <w:rsid w:val="109F5D8E"/>
    <w:rsid w:val="10A163B9"/>
    <w:rsid w:val="10A177A2"/>
    <w:rsid w:val="10A7138A"/>
    <w:rsid w:val="10A9762F"/>
    <w:rsid w:val="10AF6324"/>
    <w:rsid w:val="10B03E1E"/>
    <w:rsid w:val="10B72596"/>
    <w:rsid w:val="10BC43A7"/>
    <w:rsid w:val="10D3345C"/>
    <w:rsid w:val="10DC1574"/>
    <w:rsid w:val="10DE2563"/>
    <w:rsid w:val="10E7043D"/>
    <w:rsid w:val="10EC2320"/>
    <w:rsid w:val="11112203"/>
    <w:rsid w:val="111845CA"/>
    <w:rsid w:val="11207E80"/>
    <w:rsid w:val="11220F68"/>
    <w:rsid w:val="11221ECF"/>
    <w:rsid w:val="112860BE"/>
    <w:rsid w:val="112B1E4A"/>
    <w:rsid w:val="11356262"/>
    <w:rsid w:val="11372A2E"/>
    <w:rsid w:val="113F6147"/>
    <w:rsid w:val="114535BD"/>
    <w:rsid w:val="11491133"/>
    <w:rsid w:val="11497545"/>
    <w:rsid w:val="114D5A28"/>
    <w:rsid w:val="11504E0E"/>
    <w:rsid w:val="11511424"/>
    <w:rsid w:val="11535CDA"/>
    <w:rsid w:val="11546651"/>
    <w:rsid w:val="115C6757"/>
    <w:rsid w:val="116322D2"/>
    <w:rsid w:val="116B2DE4"/>
    <w:rsid w:val="117447D9"/>
    <w:rsid w:val="11785501"/>
    <w:rsid w:val="117D1F28"/>
    <w:rsid w:val="1187310D"/>
    <w:rsid w:val="118C5635"/>
    <w:rsid w:val="11912D14"/>
    <w:rsid w:val="11A26337"/>
    <w:rsid w:val="11A55435"/>
    <w:rsid w:val="11AB7FBC"/>
    <w:rsid w:val="11BB6C8F"/>
    <w:rsid w:val="11C0447B"/>
    <w:rsid w:val="11D0732A"/>
    <w:rsid w:val="11E117EC"/>
    <w:rsid w:val="11E76211"/>
    <w:rsid w:val="11E9219A"/>
    <w:rsid w:val="11F36F16"/>
    <w:rsid w:val="1203614C"/>
    <w:rsid w:val="120C23BA"/>
    <w:rsid w:val="121B0DC2"/>
    <w:rsid w:val="121E1994"/>
    <w:rsid w:val="12260D56"/>
    <w:rsid w:val="12266675"/>
    <w:rsid w:val="122A2A80"/>
    <w:rsid w:val="122C24BF"/>
    <w:rsid w:val="124D44D7"/>
    <w:rsid w:val="125F3F5B"/>
    <w:rsid w:val="126B2868"/>
    <w:rsid w:val="126B3F42"/>
    <w:rsid w:val="126F5B38"/>
    <w:rsid w:val="12706195"/>
    <w:rsid w:val="127A7BC6"/>
    <w:rsid w:val="127D654C"/>
    <w:rsid w:val="128C00CD"/>
    <w:rsid w:val="129249DA"/>
    <w:rsid w:val="129456B3"/>
    <w:rsid w:val="12A54313"/>
    <w:rsid w:val="12A62EF2"/>
    <w:rsid w:val="12A869C4"/>
    <w:rsid w:val="12BE2DB4"/>
    <w:rsid w:val="12C02567"/>
    <w:rsid w:val="12C04D04"/>
    <w:rsid w:val="12C81DAF"/>
    <w:rsid w:val="12D328E8"/>
    <w:rsid w:val="12D46565"/>
    <w:rsid w:val="12D47C8F"/>
    <w:rsid w:val="12D851BD"/>
    <w:rsid w:val="12D87437"/>
    <w:rsid w:val="12E0359D"/>
    <w:rsid w:val="12E07605"/>
    <w:rsid w:val="12F10047"/>
    <w:rsid w:val="12F73ABC"/>
    <w:rsid w:val="12FB3F33"/>
    <w:rsid w:val="1303349F"/>
    <w:rsid w:val="13195620"/>
    <w:rsid w:val="131F1EF8"/>
    <w:rsid w:val="131F6AC5"/>
    <w:rsid w:val="132711CC"/>
    <w:rsid w:val="13274D28"/>
    <w:rsid w:val="13367661"/>
    <w:rsid w:val="134038CC"/>
    <w:rsid w:val="134753CA"/>
    <w:rsid w:val="13557B00"/>
    <w:rsid w:val="13581DDF"/>
    <w:rsid w:val="1366487A"/>
    <w:rsid w:val="13672D11"/>
    <w:rsid w:val="13710699"/>
    <w:rsid w:val="1374649F"/>
    <w:rsid w:val="1383425A"/>
    <w:rsid w:val="13847B11"/>
    <w:rsid w:val="13862315"/>
    <w:rsid w:val="13872236"/>
    <w:rsid w:val="138C54D3"/>
    <w:rsid w:val="138E73B4"/>
    <w:rsid w:val="13926116"/>
    <w:rsid w:val="13974B89"/>
    <w:rsid w:val="13996CDD"/>
    <w:rsid w:val="13A24CF6"/>
    <w:rsid w:val="13A40B54"/>
    <w:rsid w:val="13C22CA1"/>
    <w:rsid w:val="13CB4472"/>
    <w:rsid w:val="13DC588E"/>
    <w:rsid w:val="13F14CA0"/>
    <w:rsid w:val="13F46490"/>
    <w:rsid w:val="13F6294C"/>
    <w:rsid w:val="14014C3E"/>
    <w:rsid w:val="140A3671"/>
    <w:rsid w:val="140B591C"/>
    <w:rsid w:val="140E5EE8"/>
    <w:rsid w:val="14103F42"/>
    <w:rsid w:val="14144EDF"/>
    <w:rsid w:val="14165771"/>
    <w:rsid w:val="14165D4F"/>
    <w:rsid w:val="14194AC5"/>
    <w:rsid w:val="142A01ED"/>
    <w:rsid w:val="142B7C21"/>
    <w:rsid w:val="142C0F76"/>
    <w:rsid w:val="14306D1E"/>
    <w:rsid w:val="143C4CED"/>
    <w:rsid w:val="1441235E"/>
    <w:rsid w:val="146855F8"/>
    <w:rsid w:val="14812CDA"/>
    <w:rsid w:val="14827CD2"/>
    <w:rsid w:val="148457BB"/>
    <w:rsid w:val="148A7C64"/>
    <w:rsid w:val="148D28D8"/>
    <w:rsid w:val="149A777C"/>
    <w:rsid w:val="149C7544"/>
    <w:rsid w:val="14A608E0"/>
    <w:rsid w:val="14AC4DD4"/>
    <w:rsid w:val="14B04031"/>
    <w:rsid w:val="14B17FD2"/>
    <w:rsid w:val="14B502D6"/>
    <w:rsid w:val="14B554C9"/>
    <w:rsid w:val="14BC1DA1"/>
    <w:rsid w:val="14CA3957"/>
    <w:rsid w:val="14CB399E"/>
    <w:rsid w:val="14DF1195"/>
    <w:rsid w:val="14F11A91"/>
    <w:rsid w:val="14F42EE2"/>
    <w:rsid w:val="1503572E"/>
    <w:rsid w:val="150374C0"/>
    <w:rsid w:val="151024ED"/>
    <w:rsid w:val="151A266A"/>
    <w:rsid w:val="151B1433"/>
    <w:rsid w:val="151C20DF"/>
    <w:rsid w:val="151F1A83"/>
    <w:rsid w:val="1520654D"/>
    <w:rsid w:val="152808C5"/>
    <w:rsid w:val="153061E5"/>
    <w:rsid w:val="15313F72"/>
    <w:rsid w:val="15390B6D"/>
    <w:rsid w:val="154352C6"/>
    <w:rsid w:val="156E2106"/>
    <w:rsid w:val="156F5997"/>
    <w:rsid w:val="15713855"/>
    <w:rsid w:val="157B11C7"/>
    <w:rsid w:val="157B67E6"/>
    <w:rsid w:val="15800380"/>
    <w:rsid w:val="158226E9"/>
    <w:rsid w:val="15976602"/>
    <w:rsid w:val="15B22B6E"/>
    <w:rsid w:val="15B23367"/>
    <w:rsid w:val="15C076B6"/>
    <w:rsid w:val="15C57D7C"/>
    <w:rsid w:val="15CC56F5"/>
    <w:rsid w:val="15D81D2E"/>
    <w:rsid w:val="15D85D06"/>
    <w:rsid w:val="15D92E90"/>
    <w:rsid w:val="15DA0270"/>
    <w:rsid w:val="15DA2AEA"/>
    <w:rsid w:val="15DA414F"/>
    <w:rsid w:val="15E41115"/>
    <w:rsid w:val="15EE2D8A"/>
    <w:rsid w:val="15F37F8E"/>
    <w:rsid w:val="16032B7B"/>
    <w:rsid w:val="160C28FB"/>
    <w:rsid w:val="16206A68"/>
    <w:rsid w:val="162B0504"/>
    <w:rsid w:val="16337E88"/>
    <w:rsid w:val="16377803"/>
    <w:rsid w:val="1643785C"/>
    <w:rsid w:val="165F28D8"/>
    <w:rsid w:val="165F362F"/>
    <w:rsid w:val="16603571"/>
    <w:rsid w:val="16683DFD"/>
    <w:rsid w:val="16684BEA"/>
    <w:rsid w:val="166D339A"/>
    <w:rsid w:val="166D5647"/>
    <w:rsid w:val="16765FC8"/>
    <w:rsid w:val="16862E4F"/>
    <w:rsid w:val="1688295D"/>
    <w:rsid w:val="16882A91"/>
    <w:rsid w:val="168A1E4C"/>
    <w:rsid w:val="168D669D"/>
    <w:rsid w:val="169F3A8C"/>
    <w:rsid w:val="16A22A76"/>
    <w:rsid w:val="16A6065A"/>
    <w:rsid w:val="16B74615"/>
    <w:rsid w:val="16C33CD0"/>
    <w:rsid w:val="16C95925"/>
    <w:rsid w:val="16D24F2B"/>
    <w:rsid w:val="16DA0728"/>
    <w:rsid w:val="16DC333D"/>
    <w:rsid w:val="16F07B27"/>
    <w:rsid w:val="16F22A9A"/>
    <w:rsid w:val="16F438F8"/>
    <w:rsid w:val="16FD2390"/>
    <w:rsid w:val="170725D9"/>
    <w:rsid w:val="170831D7"/>
    <w:rsid w:val="170D692B"/>
    <w:rsid w:val="170E4432"/>
    <w:rsid w:val="17103D25"/>
    <w:rsid w:val="17140A87"/>
    <w:rsid w:val="171B21B3"/>
    <w:rsid w:val="171E50BC"/>
    <w:rsid w:val="17244C88"/>
    <w:rsid w:val="173E0892"/>
    <w:rsid w:val="1743664B"/>
    <w:rsid w:val="1748020A"/>
    <w:rsid w:val="174A2EC2"/>
    <w:rsid w:val="17502F9A"/>
    <w:rsid w:val="17517200"/>
    <w:rsid w:val="17590FC6"/>
    <w:rsid w:val="175E3EB2"/>
    <w:rsid w:val="17626C76"/>
    <w:rsid w:val="176A3EFE"/>
    <w:rsid w:val="176C53FF"/>
    <w:rsid w:val="178563D5"/>
    <w:rsid w:val="17860508"/>
    <w:rsid w:val="178A3AD7"/>
    <w:rsid w:val="178F2F91"/>
    <w:rsid w:val="179675DE"/>
    <w:rsid w:val="17981A93"/>
    <w:rsid w:val="179B2E8D"/>
    <w:rsid w:val="179C4EC9"/>
    <w:rsid w:val="179F2C54"/>
    <w:rsid w:val="17A00944"/>
    <w:rsid w:val="17A113BF"/>
    <w:rsid w:val="17AE3FEE"/>
    <w:rsid w:val="17B6492E"/>
    <w:rsid w:val="17B6666D"/>
    <w:rsid w:val="17C00011"/>
    <w:rsid w:val="17C86872"/>
    <w:rsid w:val="17D223B6"/>
    <w:rsid w:val="17D80CE7"/>
    <w:rsid w:val="17D97534"/>
    <w:rsid w:val="17DA4327"/>
    <w:rsid w:val="17EA18C7"/>
    <w:rsid w:val="17F057AF"/>
    <w:rsid w:val="17FF24D0"/>
    <w:rsid w:val="180109E4"/>
    <w:rsid w:val="180D2707"/>
    <w:rsid w:val="1810358B"/>
    <w:rsid w:val="18106313"/>
    <w:rsid w:val="182024CC"/>
    <w:rsid w:val="18227822"/>
    <w:rsid w:val="182B3953"/>
    <w:rsid w:val="18377BB1"/>
    <w:rsid w:val="1842549E"/>
    <w:rsid w:val="185B580A"/>
    <w:rsid w:val="18653A60"/>
    <w:rsid w:val="186E13BE"/>
    <w:rsid w:val="186E2BE5"/>
    <w:rsid w:val="187A2EAF"/>
    <w:rsid w:val="187F6064"/>
    <w:rsid w:val="18875D57"/>
    <w:rsid w:val="189118B3"/>
    <w:rsid w:val="18934C0E"/>
    <w:rsid w:val="189D6E04"/>
    <w:rsid w:val="18A94ADC"/>
    <w:rsid w:val="18AA4246"/>
    <w:rsid w:val="18AE6F0A"/>
    <w:rsid w:val="18AF0AE5"/>
    <w:rsid w:val="18B5504D"/>
    <w:rsid w:val="18C63235"/>
    <w:rsid w:val="18C74406"/>
    <w:rsid w:val="18D94A30"/>
    <w:rsid w:val="18DC4807"/>
    <w:rsid w:val="18DC6084"/>
    <w:rsid w:val="18DF42F7"/>
    <w:rsid w:val="18F00662"/>
    <w:rsid w:val="18F2168D"/>
    <w:rsid w:val="18FE2F90"/>
    <w:rsid w:val="18FE477D"/>
    <w:rsid w:val="190110D5"/>
    <w:rsid w:val="19092E12"/>
    <w:rsid w:val="1913799E"/>
    <w:rsid w:val="191F46F3"/>
    <w:rsid w:val="192200CD"/>
    <w:rsid w:val="19236BB0"/>
    <w:rsid w:val="19240F9F"/>
    <w:rsid w:val="1924700D"/>
    <w:rsid w:val="192678F6"/>
    <w:rsid w:val="19277B12"/>
    <w:rsid w:val="1929649C"/>
    <w:rsid w:val="19350AC5"/>
    <w:rsid w:val="19377C8F"/>
    <w:rsid w:val="193C52A5"/>
    <w:rsid w:val="19441F11"/>
    <w:rsid w:val="19463ED2"/>
    <w:rsid w:val="194A3BE6"/>
    <w:rsid w:val="194D70E7"/>
    <w:rsid w:val="196F1CF5"/>
    <w:rsid w:val="19766A09"/>
    <w:rsid w:val="19856C4C"/>
    <w:rsid w:val="19866520"/>
    <w:rsid w:val="198F408B"/>
    <w:rsid w:val="19A12C28"/>
    <w:rsid w:val="19A91D78"/>
    <w:rsid w:val="19B64CBC"/>
    <w:rsid w:val="19BA245C"/>
    <w:rsid w:val="19BA338F"/>
    <w:rsid w:val="19C474E8"/>
    <w:rsid w:val="19D24AB1"/>
    <w:rsid w:val="19D42051"/>
    <w:rsid w:val="19D559F7"/>
    <w:rsid w:val="19EA6AAF"/>
    <w:rsid w:val="19F93A1D"/>
    <w:rsid w:val="19FE5E8D"/>
    <w:rsid w:val="1A054F44"/>
    <w:rsid w:val="1A136EBD"/>
    <w:rsid w:val="1A1F0EB8"/>
    <w:rsid w:val="1A2708B0"/>
    <w:rsid w:val="1A295829"/>
    <w:rsid w:val="1A2C4A71"/>
    <w:rsid w:val="1A2E222E"/>
    <w:rsid w:val="1A3D367B"/>
    <w:rsid w:val="1A3E50EB"/>
    <w:rsid w:val="1A47743C"/>
    <w:rsid w:val="1A592121"/>
    <w:rsid w:val="1A5D43E7"/>
    <w:rsid w:val="1A5E0AE8"/>
    <w:rsid w:val="1A69625B"/>
    <w:rsid w:val="1A6D59E4"/>
    <w:rsid w:val="1A70774D"/>
    <w:rsid w:val="1A744175"/>
    <w:rsid w:val="1A8028B1"/>
    <w:rsid w:val="1A825F8E"/>
    <w:rsid w:val="1A89709C"/>
    <w:rsid w:val="1A98532D"/>
    <w:rsid w:val="1AA401A9"/>
    <w:rsid w:val="1AAC601A"/>
    <w:rsid w:val="1AAE41C6"/>
    <w:rsid w:val="1AB136EC"/>
    <w:rsid w:val="1AB17AD6"/>
    <w:rsid w:val="1AB45D55"/>
    <w:rsid w:val="1AB47952"/>
    <w:rsid w:val="1AD255DD"/>
    <w:rsid w:val="1AD92F3B"/>
    <w:rsid w:val="1AEA644E"/>
    <w:rsid w:val="1AEC6772"/>
    <w:rsid w:val="1B012C59"/>
    <w:rsid w:val="1B096CC3"/>
    <w:rsid w:val="1B1D4936"/>
    <w:rsid w:val="1B1E6F53"/>
    <w:rsid w:val="1B20640C"/>
    <w:rsid w:val="1B2214FD"/>
    <w:rsid w:val="1B2E0395"/>
    <w:rsid w:val="1B376814"/>
    <w:rsid w:val="1B4D50B0"/>
    <w:rsid w:val="1B531029"/>
    <w:rsid w:val="1B583499"/>
    <w:rsid w:val="1B5C270F"/>
    <w:rsid w:val="1B5F6914"/>
    <w:rsid w:val="1B6E26C3"/>
    <w:rsid w:val="1B6E46C8"/>
    <w:rsid w:val="1B7833D6"/>
    <w:rsid w:val="1B7C0079"/>
    <w:rsid w:val="1B80651E"/>
    <w:rsid w:val="1B830F69"/>
    <w:rsid w:val="1B8357C7"/>
    <w:rsid w:val="1B8B7827"/>
    <w:rsid w:val="1B8C55A9"/>
    <w:rsid w:val="1B922D89"/>
    <w:rsid w:val="1B9C567C"/>
    <w:rsid w:val="1BA92748"/>
    <w:rsid w:val="1BAC7333"/>
    <w:rsid w:val="1BB44B8B"/>
    <w:rsid w:val="1BBE7A52"/>
    <w:rsid w:val="1BC3719E"/>
    <w:rsid w:val="1BD31C7F"/>
    <w:rsid w:val="1BDC3253"/>
    <w:rsid w:val="1BEB0238"/>
    <w:rsid w:val="1BF260EF"/>
    <w:rsid w:val="1C085BE1"/>
    <w:rsid w:val="1C0C0EA1"/>
    <w:rsid w:val="1C0D504B"/>
    <w:rsid w:val="1C143049"/>
    <w:rsid w:val="1C181028"/>
    <w:rsid w:val="1C1D316C"/>
    <w:rsid w:val="1C370DD1"/>
    <w:rsid w:val="1C381D54"/>
    <w:rsid w:val="1C446DB5"/>
    <w:rsid w:val="1C4E04BA"/>
    <w:rsid w:val="1C4F0594"/>
    <w:rsid w:val="1C504D01"/>
    <w:rsid w:val="1C512278"/>
    <w:rsid w:val="1C557FC4"/>
    <w:rsid w:val="1C5D2EA8"/>
    <w:rsid w:val="1C5D3288"/>
    <w:rsid w:val="1C642C55"/>
    <w:rsid w:val="1C683BD8"/>
    <w:rsid w:val="1C702050"/>
    <w:rsid w:val="1C7432D7"/>
    <w:rsid w:val="1C796EDE"/>
    <w:rsid w:val="1C7D00AF"/>
    <w:rsid w:val="1C7F3E27"/>
    <w:rsid w:val="1C810274"/>
    <w:rsid w:val="1C81333C"/>
    <w:rsid w:val="1C822B93"/>
    <w:rsid w:val="1C893760"/>
    <w:rsid w:val="1C895115"/>
    <w:rsid w:val="1C991E13"/>
    <w:rsid w:val="1C9F7B87"/>
    <w:rsid w:val="1CA05B4B"/>
    <w:rsid w:val="1CA1457F"/>
    <w:rsid w:val="1CAD31B3"/>
    <w:rsid w:val="1CAF7134"/>
    <w:rsid w:val="1CBB1806"/>
    <w:rsid w:val="1CCC71FE"/>
    <w:rsid w:val="1CCE4466"/>
    <w:rsid w:val="1CD41B5C"/>
    <w:rsid w:val="1CD87776"/>
    <w:rsid w:val="1CDD0B4D"/>
    <w:rsid w:val="1CE06351"/>
    <w:rsid w:val="1CE1063D"/>
    <w:rsid w:val="1CF57059"/>
    <w:rsid w:val="1D010812"/>
    <w:rsid w:val="1D022208"/>
    <w:rsid w:val="1D0D1432"/>
    <w:rsid w:val="1D10536E"/>
    <w:rsid w:val="1D126A49"/>
    <w:rsid w:val="1D13456F"/>
    <w:rsid w:val="1D1F64CE"/>
    <w:rsid w:val="1D230C56"/>
    <w:rsid w:val="1D252962"/>
    <w:rsid w:val="1D2A3029"/>
    <w:rsid w:val="1D2C1559"/>
    <w:rsid w:val="1D2E601B"/>
    <w:rsid w:val="1D3A5FA0"/>
    <w:rsid w:val="1D4849E1"/>
    <w:rsid w:val="1D497F91"/>
    <w:rsid w:val="1D526F6F"/>
    <w:rsid w:val="1D586079"/>
    <w:rsid w:val="1D5B223F"/>
    <w:rsid w:val="1D64083A"/>
    <w:rsid w:val="1D69004B"/>
    <w:rsid w:val="1D6F0DBF"/>
    <w:rsid w:val="1D704655"/>
    <w:rsid w:val="1D72703F"/>
    <w:rsid w:val="1D781241"/>
    <w:rsid w:val="1D784A5D"/>
    <w:rsid w:val="1D8014ED"/>
    <w:rsid w:val="1D8D0248"/>
    <w:rsid w:val="1D9A31FB"/>
    <w:rsid w:val="1DAE564A"/>
    <w:rsid w:val="1DB031A0"/>
    <w:rsid w:val="1DB3073D"/>
    <w:rsid w:val="1DC064A5"/>
    <w:rsid w:val="1DD13D28"/>
    <w:rsid w:val="1DD301F8"/>
    <w:rsid w:val="1DD72462"/>
    <w:rsid w:val="1DDA7B50"/>
    <w:rsid w:val="1DDF7398"/>
    <w:rsid w:val="1DE603A2"/>
    <w:rsid w:val="1DED1CE8"/>
    <w:rsid w:val="1E047DEA"/>
    <w:rsid w:val="1E070E75"/>
    <w:rsid w:val="1E1030F2"/>
    <w:rsid w:val="1E103106"/>
    <w:rsid w:val="1E134483"/>
    <w:rsid w:val="1E1436BB"/>
    <w:rsid w:val="1E212DEB"/>
    <w:rsid w:val="1E2702D2"/>
    <w:rsid w:val="1E2A0775"/>
    <w:rsid w:val="1E2A22F5"/>
    <w:rsid w:val="1E3D43B9"/>
    <w:rsid w:val="1E417712"/>
    <w:rsid w:val="1E432436"/>
    <w:rsid w:val="1E5C6DEE"/>
    <w:rsid w:val="1E6908EA"/>
    <w:rsid w:val="1E6B0524"/>
    <w:rsid w:val="1E7C5F65"/>
    <w:rsid w:val="1E8302F7"/>
    <w:rsid w:val="1E893A4C"/>
    <w:rsid w:val="1E8965CC"/>
    <w:rsid w:val="1E9012DF"/>
    <w:rsid w:val="1E9170BC"/>
    <w:rsid w:val="1E9915C6"/>
    <w:rsid w:val="1E9F1D1C"/>
    <w:rsid w:val="1EA45602"/>
    <w:rsid w:val="1EAA60AD"/>
    <w:rsid w:val="1EAD1BF2"/>
    <w:rsid w:val="1EB63404"/>
    <w:rsid w:val="1EBA77CF"/>
    <w:rsid w:val="1EBC3110"/>
    <w:rsid w:val="1EC4627E"/>
    <w:rsid w:val="1ECB509D"/>
    <w:rsid w:val="1EDE09E4"/>
    <w:rsid w:val="1EE66AA1"/>
    <w:rsid w:val="1EE80AEC"/>
    <w:rsid w:val="1EEA3092"/>
    <w:rsid w:val="1EEE7042"/>
    <w:rsid w:val="1F010B23"/>
    <w:rsid w:val="1F1036EB"/>
    <w:rsid w:val="1F17089A"/>
    <w:rsid w:val="1F18172D"/>
    <w:rsid w:val="1F3B453F"/>
    <w:rsid w:val="1F444EB4"/>
    <w:rsid w:val="1F4556CB"/>
    <w:rsid w:val="1F47159B"/>
    <w:rsid w:val="1F4B5B70"/>
    <w:rsid w:val="1F4D3D68"/>
    <w:rsid w:val="1F4E0AA0"/>
    <w:rsid w:val="1F4F5DD5"/>
    <w:rsid w:val="1F552111"/>
    <w:rsid w:val="1F650C0F"/>
    <w:rsid w:val="1F68229A"/>
    <w:rsid w:val="1F6D0F7A"/>
    <w:rsid w:val="1F7216CD"/>
    <w:rsid w:val="1F7942DD"/>
    <w:rsid w:val="1F7C0D0F"/>
    <w:rsid w:val="1F7D47B7"/>
    <w:rsid w:val="1F8061F2"/>
    <w:rsid w:val="1F86357A"/>
    <w:rsid w:val="1F896D6A"/>
    <w:rsid w:val="1F8A26EB"/>
    <w:rsid w:val="1F8C7B49"/>
    <w:rsid w:val="1F991270"/>
    <w:rsid w:val="1FC064EA"/>
    <w:rsid w:val="1FC97167"/>
    <w:rsid w:val="1FD5752D"/>
    <w:rsid w:val="1FDF0F0F"/>
    <w:rsid w:val="1FF3546C"/>
    <w:rsid w:val="1FFA03B7"/>
    <w:rsid w:val="20002807"/>
    <w:rsid w:val="200F7270"/>
    <w:rsid w:val="20144FB5"/>
    <w:rsid w:val="201537FE"/>
    <w:rsid w:val="20160E89"/>
    <w:rsid w:val="20191E9C"/>
    <w:rsid w:val="201B5C14"/>
    <w:rsid w:val="20226633"/>
    <w:rsid w:val="202B080C"/>
    <w:rsid w:val="202F4EA6"/>
    <w:rsid w:val="203451FE"/>
    <w:rsid w:val="203A3916"/>
    <w:rsid w:val="203B217A"/>
    <w:rsid w:val="20401C9C"/>
    <w:rsid w:val="2041224D"/>
    <w:rsid w:val="20430D50"/>
    <w:rsid w:val="20476A94"/>
    <w:rsid w:val="20511337"/>
    <w:rsid w:val="205546A4"/>
    <w:rsid w:val="206A5DA4"/>
    <w:rsid w:val="206E08E6"/>
    <w:rsid w:val="206E51FD"/>
    <w:rsid w:val="20754BA7"/>
    <w:rsid w:val="207C70D5"/>
    <w:rsid w:val="208156DC"/>
    <w:rsid w:val="20822B59"/>
    <w:rsid w:val="208405E6"/>
    <w:rsid w:val="208E0769"/>
    <w:rsid w:val="208F20F0"/>
    <w:rsid w:val="20913A42"/>
    <w:rsid w:val="20A816DD"/>
    <w:rsid w:val="20AA52C9"/>
    <w:rsid w:val="20AC07C9"/>
    <w:rsid w:val="20AE4B85"/>
    <w:rsid w:val="20B50664"/>
    <w:rsid w:val="20B83DFE"/>
    <w:rsid w:val="20C121C0"/>
    <w:rsid w:val="20C61516"/>
    <w:rsid w:val="20C92461"/>
    <w:rsid w:val="20FD531A"/>
    <w:rsid w:val="210E7F88"/>
    <w:rsid w:val="21117017"/>
    <w:rsid w:val="211619C0"/>
    <w:rsid w:val="2119286E"/>
    <w:rsid w:val="211A4962"/>
    <w:rsid w:val="212017D1"/>
    <w:rsid w:val="21357FBF"/>
    <w:rsid w:val="213B6A5F"/>
    <w:rsid w:val="2142018C"/>
    <w:rsid w:val="21420783"/>
    <w:rsid w:val="215C0EAE"/>
    <w:rsid w:val="216362F6"/>
    <w:rsid w:val="216B3AFA"/>
    <w:rsid w:val="216D6944"/>
    <w:rsid w:val="216E6218"/>
    <w:rsid w:val="2175076B"/>
    <w:rsid w:val="21823A71"/>
    <w:rsid w:val="21A25404"/>
    <w:rsid w:val="21A61A29"/>
    <w:rsid w:val="21A659B2"/>
    <w:rsid w:val="21B03969"/>
    <w:rsid w:val="21BD618F"/>
    <w:rsid w:val="21C04FAF"/>
    <w:rsid w:val="21CE1509"/>
    <w:rsid w:val="21D342CD"/>
    <w:rsid w:val="21D5384A"/>
    <w:rsid w:val="21D95D87"/>
    <w:rsid w:val="21DE2273"/>
    <w:rsid w:val="21E14E40"/>
    <w:rsid w:val="21E432FC"/>
    <w:rsid w:val="21E76C4C"/>
    <w:rsid w:val="21F80270"/>
    <w:rsid w:val="22093F32"/>
    <w:rsid w:val="221A7CC2"/>
    <w:rsid w:val="221C5C74"/>
    <w:rsid w:val="221F7512"/>
    <w:rsid w:val="2232301E"/>
    <w:rsid w:val="223730A4"/>
    <w:rsid w:val="223E0319"/>
    <w:rsid w:val="22401B17"/>
    <w:rsid w:val="224E77F0"/>
    <w:rsid w:val="2250078D"/>
    <w:rsid w:val="225030B7"/>
    <w:rsid w:val="22585E6E"/>
    <w:rsid w:val="225E79F0"/>
    <w:rsid w:val="22621C80"/>
    <w:rsid w:val="226B4ED6"/>
    <w:rsid w:val="226D3824"/>
    <w:rsid w:val="226F5E0B"/>
    <w:rsid w:val="22705A79"/>
    <w:rsid w:val="2271156F"/>
    <w:rsid w:val="22747454"/>
    <w:rsid w:val="227F1492"/>
    <w:rsid w:val="228219D7"/>
    <w:rsid w:val="229677D4"/>
    <w:rsid w:val="2297598E"/>
    <w:rsid w:val="229F0C40"/>
    <w:rsid w:val="229F4E25"/>
    <w:rsid w:val="22A13DA4"/>
    <w:rsid w:val="22AC5144"/>
    <w:rsid w:val="22D16A5E"/>
    <w:rsid w:val="22D3741E"/>
    <w:rsid w:val="22DC45C4"/>
    <w:rsid w:val="22DD26E3"/>
    <w:rsid w:val="22EC1A80"/>
    <w:rsid w:val="22F00461"/>
    <w:rsid w:val="22FB3B77"/>
    <w:rsid w:val="23080378"/>
    <w:rsid w:val="23144B9D"/>
    <w:rsid w:val="231B7562"/>
    <w:rsid w:val="23237FAF"/>
    <w:rsid w:val="2326766B"/>
    <w:rsid w:val="23280273"/>
    <w:rsid w:val="232F57ED"/>
    <w:rsid w:val="23305E7B"/>
    <w:rsid w:val="23316534"/>
    <w:rsid w:val="23337719"/>
    <w:rsid w:val="233575E0"/>
    <w:rsid w:val="233661DD"/>
    <w:rsid w:val="23367463"/>
    <w:rsid w:val="233E411C"/>
    <w:rsid w:val="233F7C96"/>
    <w:rsid w:val="23404179"/>
    <w:rsid w:val="2341157F"/>
    <w:rsid w:val="23457768"/>
    <w:rsid w:val="234838A4"/>
    <w:rsid w:val="234C0BAB"/>
    <w:rsid w:val="23621DAC"/>
    <w:rsid w:val="23751186"/>
    <w:rsid w:val="239161EE"/>
    <w:rsid w:val="23922691"/>
    <w:rsid w:val="23932FD9"/>
    <w:rsid w:val="23BA3006"/>
    <w:rsid w:val="23D71BA1"/>
    <w:rsid w:val="23E328AE"/>
    <w:rsid w:val="23E577EC"/>
    <w:rsid w:val="23E7796E"/>
    <w:rsid w:val="23EB4A8F"/>
    <w:rsid w:val="23EF7945"/>
    <w:rsid w:val="23F73AD6"/>
    <w:rsid w:val="23F968FD"/>
    <w:rsid w:val="23FC0B62"/>
    <w:rsid w:val="240077BB"/>
    <w:rsid w:val="240928D8"/>
    <w:rsid w:val="240A3A5A"/>
    <w:rsid w:val="241376B1"/>
    <w:rsid w:val="24182201"/>
    <w:rsid w:val="241D51DA"/>
    <w:rsid w:val="2423153B"/>
    <w:rsid w:val="242A0B1C"/>
    <w:rsid w:val="242E3943"/>
    <w:rsid w:val="24392E9F"/>
    <w:rsid w:val="243F45A1"/>
    <w:rsid w:val="24450CD9"/>
    <w:rsid w:val="24603756"/>
    <w:rsid w:val="246307EB"/>
    <w:rsid w:val="2463755D"/>
    <w:rsid w:val="246B5847"/>
    <w:rsid w:val="247D36CA"/>
    <w:rsid w:val="24821590"/>
    <w:rsid w:val="24863878"/>
    <w:rsid w:val="248B3FF1"/>
    <w:rsid w:val="249D6004"/>
    <w:rsid w:val="24A847E2"/>
    <w:rsid w:val="24AB1016"/>
    <w:rsid w:val="24B242F8"/>
    <w:rsid w:val="24B53284"/>
    <w:rsid w:val="24C10B85"/>
    <w:rsid w:val="24C71277"/>
    <w:rsid w:val="24CA2E83"/>
    <w:rsid w:val="24CE41A2"/>
    <w:rsid w:val="24E53944"/>
    <w:rsid w:val="24E94533"/>
    <w:rsid w:val="24F06E87"/>
    <w:rsid w:val="24F62180"/>
    <w:rsid w:val="25064281"/>
    <w:rsid w:val="25092215"/>
    <w:rsid w:val="250D7E83"/>
    <w:rsid w:val="25143DF0"/>
    <w:rsid w:val="251E6607"/>
    <w:rsid w:val="252F5649"/>
    <w:rsid w:val="2536529E"/>
    <w:rsid w:val="25457290"/>
    <w:rsid w:val="25521746"/>
    <w:rsid w:val="255415B0"/>
    <w:rsid w:val="255C4F39"/>
    <w:rsid w:val="25661EFC"/>
    <w:rsid w:val="2575174B"/>
    <w:rsid w:val="25817FCD"/>
    <w:rsid w:val="259049AF"/>
    <w:rsid w:val="25916979"/>
    <w:rsid w:val="25962702"/>
    <w:rsid w:val="259D3570"/>
    <w:rsid w:val="25AA77F1"/>
    <w:rsid w:val="25AC15A3"/>
    <w:rsid w:val="25AD49BC"/>
    <w:rsid w:val="25B23CF1"/>
    <w:rsid w:val="25BB7891"/>
    <w:rsid w:val="25C10EBD"/>
    <w:rsid w:val="25C14C9E"/>
    <w:rsid w:val="25C951DF"/>
    <w:rsid w:val="25CC0DF2"/>
    <w:rsid w:val="25DA3753"/>
    <w:rsid w:val="25DB3B6F"/>
    <w:rsid w:val="25EF3DCB"/>
    <w:rsid w:val="25F0369F"/>
    <w:rsid w:val="25F0788B"/>
    <w:rsid w:val="25FA13AE"/>
    <w:rsid w:val="2600505D"/>
    <w:rsid w:val="261455E0"/>
    <w:rsid w:val="261567C8"/>
    <w:rsid w:val="261F4ACA"/>
    <w:rsid w:val="2620187C"/>
    <w:rsid w:val="2620769E"/>
    <w:rsid w:val="26216F99"/>
    <w:rsid w:val="262479BE"/>
    <w:rsid w:val="262F5A68"/>
    <w:rsid w:val="263317DE"/>
    <w:rsid w:val="263B480B"/>
    <w:rsid w:val="265D79A6"/>
    <w:rsid w:val="26611F21"/>
    <w:rsid w:val="26633E71"/>
    <w:rsid w:val="267E061F"/>
    <w:rsid w:val="267F67D1"/>
    <w:rsid w:val="26804680"/>
    <w:rsid w:val="26847DDD"/>
    <w:rsid w:val="26903728"/>
    <w:rsid w:val="26956F30"/>
    <w:rsid w:val="26977207"/>
    <w:rsid w:val="26997893"/>
    <w:rsid w:val="26B77A38"/>
    <w:rsid w:val="26B92FD5"/>
    <w:rsid w:val="26B930D0"/>
    <w:rsid w:val="26BD5F9C"/>
    <w:rsid w:val="26E91681"/>
    <w:rsid w:val="26F3279F"/>
    <w:rsid w:val="26F41EF5"/>
    <w:rsid w:val="27111854"/>
    <w:rsid w:val="27130879"/>
    <w:rsid w:val="271358CE"/>
    <w:rsid w:val="271561F2"/>
    <w:rsid w:val="271E52C4"/>
    <w:rsid w:val="27231181"/>
    <w:rsid w:val="272829C1"/>
    <w:rsid w:val="272C609A"/>
    <w:rsid w:val="27380499"/>
    <w:rsid w:val="275B2D4A"/>
    <w:rsid w:val="275D4970"/>
    <w:rsid w:val="275F2234"/>
    <w:rsid w:val="27624935"/>
    <w:rsid w:val="27633480"/>
    <w:rsid w:val="276408FB"/>
    <w:rsid w:val="276432AF"/>
    <w:rsid w:val="27685BE3"/>
    <w:rsid w:val="276B4295"/>
    <w:rsid w:val="276E150C"/>
    <w:rsid w:val="276F3367"/>
    <w:rsid w:val="279A6DAD"/>
    <w:rsid w:val="279F537D"/>
    <w:rsid w:val="279F5D2E"/>
    <w:rsid w:val="27A40511"/>
    <w:rsid w:val="27A61498"/>
    <w:rsid w:val="27A6707C"/>
    <w:rsid w:val="27AC6936"/>
    <w:rsid w:val="27B401ED"/>
    <w:rsid w:val="27B76394"/>
    <w:rsid w:val="27CD5183"/>
    <w:rsid w:val="27CE11C9"/>
    <w:rsid w:val="27CF164E"/>
    <w:rsid w:val="27E5255F"/>
    <w:rsid w:val="27E64D5A"/>
    <w:rsid w:val="27EE33A0"/>
    <w:rsid w:val="27F15BBB"/>
    <w:rsid w:val="27F5763C"/>
    <w:rsid w:val="27F63CB7"/>
    <w:rsid w:val="27FB6C3E"/>
    <w:rsid w:val="27FE7766"/>
    <w:rsid w:val="2800405D"/>
    <w:rsid w:val="28115732"/>
    <w:rsid w:val="28135D84"/>
    <w:rsid w:val="2816231E"/>
    <w:rsid w:val="28164F13"/>
    <w:rsid w:val="28182E76"/>
    <w:rsid w:val="28241EEC"/>
    <w:rsid w:val="28271AB2"/>
    <w:rsid w:val="28274A0F"/>
    <w:rsid w:val="282B243D"/>
    <w:rsid w:val="2833679C"/>
    <w:rsid w:val="283525AB"/>
    <w:rsid w:val="2849078A"/>
    <w:rsid w:val="2852231C"/>
    <w:rsid w:val="28525DA8"/>
    <w:rsid w:val="28527470"/>
    <w:rsid w:val="28575C58"/>
    <w:rsid w:val="28683836"/>
    <w:rsid w:val="287278A6"/>
    <w:rsid w:val="287F2A3F"/>
    <w:rsid w:val="2889724A"/>
    <w:rsid w:val="288A4F4F"/>
    <w:rsid w:val="28AB4112"/>
    <w:rsid w:val="28B2752B"/>
    <w:rsid w:val="28B4672F"/>
    <w:rsid w:val="28C1254A"/>
    <w:rsid w:val="28C45C74"/>
    <w:rsid w:val="28D713E6"/>
    <w:rsid w:val="28D728F5"/>
    <w:rsid w:val="28F409F9"/>
    <w:rsid w:val="28F773A7"/>
    <w:rsid w:val="28FC4179"/>
    <w:rsid w:val="28FE2A05"/>
    <w:rsid w:val="2900425D"/>
    <w:rsid w:val="290556F7"/>
    <w:rsid w:val="290A2CBD"/>
    <w:rsid w:val="290A4594"/>
    <w:rsid w:val="290F60EE"/>
    <w:rsid w:val="291116BD"/>
    <w:rsid w:val="29255C82"/>
    <w:rsid w:val="292D0766"/>
    <w:rsid w:val="293926EA"/>
    <w:rsid w:val="293A22E1"/>
    <w:rsid w:val="293D1575"/>
    <w:rsid w:val="2943410D"/>
    <w:rsid w:val="29453766"/>
    <w:rsid w:val="29473B68"/>
    <w:rsid w:val="294C1E35"/>
    <w:rsid w:val="29545153"/>
    <w:rsid w:val="29567CBD"/>
    <w:rsid w:val="29700D16"/>
    <w:rsid w:val="298917BD"/>
    <w:rsid w:val="29933177"/>
    <w:rsid w:val="299403EB"/>
    <w:rsid w:val="2997080A"/>
    <w:rsid w:val="299B3656"/>
    <w:rsid w:val="29AE2EA2"/>
    <w:rsid w:val="29B055A6"/>
    <w:rsid w:val="29B35110"/>
    <w:rsid w:val="29B35DBC"/>
    <w:rsid w:val="29B61188"/>
    <w:rsid w:val="29B64144"/>
    <w:rsid w:val="29B7714B"/>
    <w:rsid w:val="29BD55C3"/>
    <w:rsid w:val="29D02243"/>
    <w:rsid w:val="29D46085"/>
    <w:rsid w:val="29D63BDD"/>
    <w:rsid w:val="29D810BC"/>
    <w:rsid w:val="29DA239A"/>
    <w:rsid w:val="29DC183A"/>
    <w:rsid w:val="29E3077E"/>
    <w:rsid w:val="29E673F5"/>
    <w:rsid w:val="29EB2808"/>
    <w:rsid w:val="29EB2AFB"/>
    <w:rsid w:val="29EB59BA"/>
    <w:rsid w:val="29EF6434"/>
    <w:rsid w:val="29F0193C"/>
    <w:rsid w:val="29F319B0"/>
    <w:rsid w:val="29F768F1"/>
    <w:rsid w:val="29FF0355"/>
    <w:rsid w:val="2A02781D"/>
    <w:rsid w:val="2A0E2346"/>
    <w:rsid w:val="2A151115"/>
    <w:rsid w:val="2A1A31AB"/>
    <w:rsid w:val="2A2B2FDF"/>
    <w:rsid w:val="2A4B7DE4"/>
    <w:rsid w:val="2A54717B"/>
    <w:rsid w:val="2A5F0DF4"/>
    <w:rsid w:val="2A662852"/>
    <w:rsid w:val="2A6C7184"/>
    <w:rsid w:val="2A7725E1"/>
    <w:rsid w:val="2A7C26FA"/>
    <w:rsid w:val="2A7D3924"/>
    <w:rsid w:val="2A903604"/>
    <w:rsid w:val="2AC1357D"/>
    <w:rsid w:val="2AC352B9"/>
    <w:rsid w:val="2AE6076F"/>
    <w:rsid w:val="2AE67252"/>
    <w:rsid w:val="2AE723DF"/>
    <w:rsid w:val="2AF03E35"/>
    <w:rsid w:val="2B0D24D1"/>
    <w:rsid w:val="2B0D3C66"/>
    <w:rsid w:val="2B1177EC"/>
    <w:rsid w:val="2B223D4B"/>
    <w:rsid w:val="2B2757E9"/>
    <w:rsid w:val="2B3672CD"/>
    <w:rsid w:val="2B3942C1"/>
    <w:rsid w:val="2B4413A5"/>
    <w:rsid w:val="2B4861C2"/>
    <w:rsid w:val="2B4904FC"/>
    <w:rsid w:val="2B5F5EB0"/>
    <w:rsid w:val="2B6433F7"/>
    <w:rsid w:val="2B6922A0"/>
    <w:rsid w:val="2B6D14C1"/>
    <w:rsid w:val="2B6E581F"/>
    <w:rsid w:val="2B717030"/>
    <w:rsid w:val="2B7B1C5D"/>
    <w:rsid w:val="2B8B3C89"/>
    <w:rsid w:val="2B8B50E1"/>
    <w:rsid w:val="2B9A3F9E"/>
    <w:rsid w:val="2B9C3330"/>
    <w:rsid w:val="2BA52BFD"/>
    <w:rsid w:val="2BA57C5A"/>
    <w:rsid w:val="2BA6291C"/>
    <w:rsid w:val="2BA70217"/>
    <w:rsid w:val="2BB0471F"/>
    <w:rsid w:val="2BB7683D"/>
    <w:rsid w:val="2BBA77B5"/>
    <w:rsid w:val="2BBC034A"/>
    <w:rsid w:val="2BBF1D7C"/>
    <w:rsid w:val="2BE71549"/>
    <w:rsid w:val="2BEC2D98"/>
    <w:rsid w:val="2BF81542"/>
    <w:rsid w:val="2BFD4C22"/>
    <w:rsid w:val="2BFD5B98"/>
    <w:rsid w:val="2BFE6C98"/>
    <w:rsid w:val="2C0734F1"/>
    <w:rsid w:val="2C124050"/>
    <w:rsid w:val="2C1254AF"/>
    <w:rsid w:val="2C1325F8"/>
    <w:rsid w:val="2C183950"/>
    <w:rsid w:val="2C1B4E8C"/>
    <w:rsid w:val="2C1F5612"/>
    <w:rsid w:val="2C36415A"/>
    <w:rsid w:val="2C471B3F"/>
    <w:rsid w:val="2C5046B2"/>
    <w:rsid w:val="2C52068E"/>
    <w:rsid w:val="2C642902"/>
    <w:rsid w:val="2C64400A"/>
    <w:rsid w:val="2C6B19C8"/>
    <w:rsid w:val="2C6D1A2C"/>
    <w:rsid w:val="2C6D25FE"/>
    <w:rsid w:val="2C7566AC"/>
    <w:rsid w:val="2C861E16"/>
    <w:rsid w:val="2C8E16D6"/>
    <w:rsid w:val="2C8E4994"/>
    <w:rsid w:val="2C8E7D62"/>
    <w:rsid w:val="2CA85672"/>
    <w:rsid w:val="2CB47F1E"/>
    <w:rsid w:val="2CBD1466"/>
    <w:rsid w:val="2CD44D8A"/>
    <w:rsid w:val="2CDA2F4A"/>
    <w:rsid w:val="2CDC7A2E"/>
    <w:rsid w:val="2CE55400"/>
    <w:rsid w:val="2CEE4AA2"/>
    <w:rsid w:val="2CF21295"/>
    <w:rsid w:val="2D010414"/>
    <w:rsid w:val="2D05280C"/>
    <w:rsid w:val="2D0578A7"/>
    <w:rsid w:val="2D0A50D5"/>
    <w:rsid w:val="2D1144F2"/>
    <w:rsid w:val="2D1211B7"/>
    <w:rsid w:val="2D1329A6"/>
    <w:rsid w:val="2D294B5E"/>
    <w:rsid w:val="2D2F42E7"/>
    <w:rsid w:val="2D375648"/>
    <w:rsid w:val="2D3C3247"/>
    <w:rsid w:val="2D3D7070"/>
    <w:rsid w:val="2D430787"/>
    <w:rsid w:val="2D460C99"/>
    <w:rsid w:val="2D530620"/>
    <w:rsid w:val="2D5502FE"/>
    <w:rsid w:val="2D5704A8"/>
    <w:rsid w:val="2D5D68BA"/>
    <w:rsid w:val="2D6428BE"/>
    <w:rsid w:val="2D684000"/>
    <w:rsid w:val="2D6A189D"/>
    <w:rsid w:val="2D7267FD"/>
    <w:rsid w:val="2D775BCF"/>
    <w:rsid w:val="2D84574D"/>
    <w:rsid w:val="2D8B6D3A"/>
    <w:rsid w:val="2D9407D2"/>
    <w:rsid w:val="2D9E1C33"/>
    <w:rsid w:val="2DA96043"/>
    <w:rsid w:val="2DAB0524"/>
    <w:rsid w:val="2DAB53BB"/>
    <w:rsid w:val="2DAC19CA"/>
    <w:rsid w:val="2DB049B5"/>
    <w:rsid w:val="2DB10054"/>
    <w:rsid w:val="2DB213E6"/>
    <w:rsid w:val="2DCB6114"/>
    <w:rsid w:val="2DD02B28"/>
    <w:rsid w:val="2DD61758"/>
    <w:rsid w:val="2DDD4419"/>
    <w:rsid w:val="2E0447C3"/>
    <w:rsid w:val="2E0E0A54"/>
    <w:rsid w:val="2E0E3AE6"/>
    <w:rsid w:val="2E122661"/>
    <w:rsid w:val="2E2233DC"/>
    <w:rsid w:val="2E243B39"/>
    <w:rsid w:val="2E2B68FD"/>
    <w:rsid w:val="2E2C5284"/>
    <w:rsid w:val="2E2E1C73"/>
    <w:rsid w:val="2E3C2FD7"/>
    <w:rsid w:val="2E3F2274"/>
    <w:rsid w:val="2E437191"/>
    <w:rsid w:val="2E47327D"/>
    <w:rsid w:val="2E4C2825"/>
    <w:rsid w:val="2E556795"/>
    <w:rsid w:val="2E576A0A"/>
    <w:rsid w:val="2E5D76E6"/>
    <w:rsid w:val="2E60426C"/>
    <w:rsid w:val="2E6E60F5"/>
    <w:rsid w:val="2E6F5371"/>
    <w:rsid w:val="2E7035CF"/>
    <w:rsid w:val="2E7B0653"/>
    <w:rsid w:val="2E870FD0"/>
    <w:rsid w:val="2E8909DB"/>
    <w:rsid w:val="2E8E1C09"/>
    <w:rsid w:val="2E8E7EF9"/>
    <w:rsid w:val="2E994519"/>
    <w:rsid w:val="2EA27501"/>
    <w:rsid w:val="2EA629AA"/>
    <w:rsid w:val="2EAB4607"/>
    <w:rsid w:val="2EB94336"/>
    <w:rsid w:val="2EBD32E2"/>
    <w:rsid w:val="2EC13654"/>
    <w:rsid w:val="2EC25066"/>
    <w:rsid w:val="2EC61490"/>
    <w:rsid w:val="2ED006E1"/>
    <w:rsid w:val="2ED55B28"/>
    <w:rsid w:val="2EE10A75"/>
    <w:rsid w:val="2EE347DC"/>
    <w:rsid w:val="2EE63393"/>
    <w:rsid w:val="2EE63891"/>
    <w:rsid w:val="2EF036F6"/>
    <w:rsid w:val="2EFE272D"/>
    <w:rsid w:val="2F007240"/>
    <w:rsid w:val="2F0C1FAA"/>
    <w:rsid w:val="2F1246F6"/>
    <w:rsid w:val="2F135784"/>
    <w:rsid w:val="2F1E302B"/>
    <w:rsid w:val="2F25260C"/>
    <w:rsid w:val="2F3D0CD7"/>
    <w:rsid w:val="2F450657"/>
    <w:rsid w:val="2F464330"/>
    <w:rsid w:val="2F5064F0"/>
    <w:rsid w:val="2F52331B"/>
    <w:rsid w:val="2F5922B5"/>
    <w:rsid w:val="2F6064BE"/>
    <w:rsid w:val="2F6F08C5"/>
    <w:rsid w:val="2F89104B"/>
    <w:rsid w:val="2F8F3F29"/>
    <w:rsid w:val="2F9128C4"/>
    <w:rsid w:val="2F9A6D60"/>
    <w:rsid w:val="2FA33530"/>
    <w:rsid w:val="2FA84FEB"/>
    <w:rsid w:val="2FB052A3"/>
    <w:rsid w:val="2FB83480"/>
    <w:rsid w:val="2FB863B1"/>
    <w:rsid w:val="2FC53A33"/>
    <w:rsid w:val="2FC8743B"/>
    <w:rsid w:val="2FCD0D35"/>
    <w:rsid w:val="2FD60848"/>
    <w:rsid w:val="2FDB13D8"/>
    <w:rsid w:val="2FE279B6"/>
    <w:rsid w:val="2FEE5271"/>
    <w:rsid w:val="2FF20A36"/>
    <w:rsid w:val="2FF53F54"/>
    <w:rsid w:val="2FF932CF"/>
    <w:rsid w:val="2FFF05CC"/>
    <w:rsid w:val="300102F8"/>
    <w:rsid w:val="30056E5E"/>
    <w:rsid w:val="30093C4A"/>
    <w:rsid w:val="300D6E67"/>
    <w:rsid w:val="301A4619"/>
    <w:rsid w:val="301F6889"/>
    <w:rsid w:val="301F6AC5"/>
    <w:rsid w:val="30214ABB"/>
    <w:rsid w:val="30250D42"/>
    <w:rsid w:val="302723B3"/>
    <w:rsid w:val="30296A51"/>
    <w:rsid w:val="302F3016"/>
    <w:rsid w:val="30331386"/>
    <w:rsid w:val="30472845"/>
    <w:rsid w:val="304A60A2"/>
    <w:rsid w:val="304C70A0"/>
    <w:rsid w:val="304D1595"/>
    <w:rsid w:val="305B07F3"/>
    <w:rsid w:val="305C5D77"/>
    <w:rsid w:val="305E51CA"/>
    <w:rsid w:val="30884AAD"/>
    <w:rsid w:val="308E2433"/>
    <w:rsid w:val="308E4DC1"/>
    <w:rsid w:val="30A5009E"/>
    <w:rsid w:val="30A57FBD"/>
    <w:rsid w:val="30AC229B"/>
    <w:rsid w:val="30AC7583"/>
    <w:rsid w:val="30AF0DAD"/>
    <w:rsid w:val="30C5248B"/>
    <w:rsid w:val="30D36FA6"/>
    <w:rsid w:val="30D50255"/>
    <w:rsid w:val="30DE59E0"/>
    <w:rsid w:val="30E9217E"/>
    <w:rsid w:val="30FA1D4A"/>
    <w:rsid w:val="3104454F"/>
    <w:rsid w:val="31073A54"/>
    <w:rsid w:val="310C6ABA"/>
    <w:rsid w:val="31125B5B"/>
    <w:rsid w:val="3113064C"/>
    <w:rsid w:val="311622C3"/>
    <w:rsid w:val="311C0596"/>
    <w:rsid w:val="311E3996"/>
    <w:rsid w:val="31210BB1"/>
    <w:rsid w:val="31241CFA"/>
    <w:rsid w:val="312E6075"/>
    <w:rsid w:val="314C7F58"/>
    <w:rsid w:val="314D5648"/>
    <w:rsid w:val="31552F50"/>
    <w:rsid w:val="315B0B2E"/>
    <w:rsid w:val="315F16D9"/>
    <w:rsid w:val="31606D1C"/>
    <w:rsid w:val="31664B87"/>
    <w:rsid w:val="3171222C"/>
    <w:rsid w:val="31716284"/>
    <w:rsid w:val="31775776"/>
    <w:rsid w:val="317A69E9"/>
    <w:rsid w:val="317B45A8"/>
    <w:rsid w:val="317F0D21"/>
    <w:rsid w:val="318F6D72"/>
    <w:rsid w:val="31A43350"/>
    <w:rsid w:val="31BE4500"/>
    <w:rsid w:val="31CE45C6"/>
    <w:rsid w:val="31DA00A5"/>
    <w:rsid w:val="31DC2924"/>
    <w:rsid w:val="31E321F7"/>
    <w:rsid w:val="31E8186F"/>
    <w:rsid w:val="31E86A45"/>
    <w:rsid w:val="31F02A71"/>
    <w:rsid w:val="31FB58A6"/>
    <w:rsid w:val="3203475A"/>
    <w:rsid w:val="32096215"/>
    <w:rsid w:val="321B116E"/>
    <w:rsid w:val="321E63D0"/>
    <w:rsid w:val="32222E32"/>
    <w:rsid w:val="322567BE"/>
    <w:rsid w:val="32270313"/>
    <w:rsid w:val="322C09FD"/>
    <w:rsid w:val="322F3A2D"/>
    <w:rsid w:val="3230393F"/>
    <w:rsid w:val="3238491D"/>
    <w:rsid w:val="3244764B"/>
    <w:rsid w:val="32451A16"/>
    <w:rsid w:val="32481FF0"/>
    <w:rsid w:val="324D6A85"/>
    <w:rsid w:val="32566F80"/>
    <w:rsid w:val="325A4E45"/>
    <w:rsid w:val="325D6DAB"/>
    <w:rsid w:val="325F5E35"/>
    <w:rsid w:val="326227CF"/>
    <w:rsid w:val="326A7917"/>
    <w:rsid w:val="32704F49"/>
    <w:rsid w:val="32731F61"/>
    <w:rsid w:val="32870882"/>
    <w:rsid w:val="32891103"/>
    <w:rsid w:val="328E69EC"/>
    <w:rsid w:val="32902CD7"/>
    <w:rsid w:val="329655CE"/>
    <w:rsid w:val="329A4BF6"/>
    <w:rsid w:val="329C1B31"/>
    <w:rsid w:val="32A766BE"/>
    <w:rsid w:val="32AD1E25"/>
    <w:rsid w:val="32B0697B"/>
    <w:rsid w:val="32D123D3"/>
    <w:rsid w:val="32EB1476"/>
    <w:rsid w:val="32F22C3E"/>
    <w:rsid w:val="32F26CA9"/>
    <w:rsid w:val="32F87162"/>
    <w:rsid w:val="32FF587E"/>
    <w:rsid w:val="3300021B"/>
    <w:rsid w:val="330705CD"/>
    <w:rsid w:val="33080309"/>
    <w:rsid w:val="330961AF"/>
    <w:rsid w:val="330E5C13"/>
    <w:rsid w:val="33134E71"/>
    <w:rsid w:val="33207F3C"/>
    <w:rsid w:val="3323309E"/>
    <w:rsid w:val="33241D80"/>
    <w:rsid w:val="33294694"/>
    <w:rsid w:val="332D5204"/>
    <w:rsid w:val="333B333E"/>
    <w:rsid w:val="333F7A14"/>
    <w:rsid w:val="33423F49"/>
    <w:rsid w:val="33452A71"/>
    <w:rsid w:val="3346559F"/>
    <w:rsid w:val="334A215B"/>
    <w:rsid w:val="334B1700"/>
    <w:rsid w:val="3354542C"/>
    <w:rsid w:val="335866CD"/>
    <w:rsid w:val="335D54EB"/>
    <w:rsid w:val="335F337E"/>
    <w:rsid w:val="33616DC5"/>
    <w:rsid w:val="33780E72"/>
    <w:rsid w:val="337A02AB"/>
    <w:rsid w:val="33897CA2"/>
    <w:rsid w:val="338E280F"/>
    <w:rsid w:val="33906F1A"/>
    <w:rsid w:val="339C3987"/>
    <w:rsid w:val="339D6C31"/>
    <w:rsid w:val="33A24E31"/>
    <w:rsid w:val="33A953EC"/>
    <w:rsid w:val="33B130E2"/>
    <w:rsid w:val="33B70CAF"/>
    <w:rsid w:val="33B85C17"/>
    <w:rsid w:val="33BF32D6"/>
    <w:rsid w:val="33C35BC8"/>
    <w:rsid w:val="33CC7607"/>
    <w:rsid w:val="33DF5D5A"/>
    <w:rsid w:val="33E2257C"/>
    <w:rsid w:val="33F46A50"/>
    <w:rsid w:val="33F854C8"/>
    <w:rsid w:val="33F93A3B"/>
    <w:rsid w:val="33FE7C3A"/>
    <w:rsid w:val="33FF3C2B"/>
    <w:rsid w:val="34086058"/>
    <w:rsid w:val="34094AE3"/>
    <w:rsid w:val="340A728E"/>
    <w:rsid w:val="340C7BDA"/>
    <w:rsid w:val="3422756A"/>
    <w:rsid w:val="34296EFF"/>
    <w:rsid w:val="34326C3A"/>
    <w:rsid w:val="34337579"/>
    <w:rsid w:val="343624C6"/>
    <w:rsid w:val="343B3B9E"/>
    <w:rsid w:val="344C21BA"/>
    <w:rsid w:val="344D7F0F"/>
    <w:rsid w:val="345509E6"/>
    <w:rsid w:val="346A6C09"/>
    <w:rsid w:val="346C65E7"/>
    <w:rsid w:val="347012E3"/>
    <w:rsid w:val="34764A5F"/>
    <w:rsid w:val="34796F56"/>
    <w:rsid w:val="34815013"/>
    <w:rsid w:val="34892129"/>
    <w:rsid w:val="348D1E0A"/>
    <w:rsid w:val="349D0E96"/>
    <w:rsid w:val="34AB35B3"/>
    <w:rsid w:val="34AC47B2"/>
    <w:rsid w:val="34C7221B"/>
    <w:rsid w:val="34C75F60"/>
    <w:rsid w:val="34C86731"/>
    <w:rsid w:val="34D83C7C"/>
    <w:rsid w:val="34EF043B"/>
    <w:rsid w:val="35050CA3"/>
    <w:rsid w:val="350C7DCA"/>
    <w:rsid w:val="3511025F"/>
    <w:rsid w:val="35213865"/>
    <w:rsid w:val="3528741F"/>
    <w:rsid w:val="352A2245"/>
    <w:rsid w:val="35386E11"/>
    <w:rsid w:val="35427894"/>
    <w:rsid w:val="354A3C5F"/>
    <w:rsid w:val="354E655F"/>
    <w:rsid w:val="35520DCE"/>
    <w:rsid w:val="356279EA"/>
    <w:rsid w:val="35630DFA"/>
    <w:rsid w:val="35635ADC"/>
    <w:rsid w:val="356461BB"/>
    <w:rsid w:val="35690134"/>
    <w:rsid w:val="356B157C"/>
    <w:rsid w:val="35700359"/>
    <w:rsid w:val="357711D8"/>
    <w:rsid w:val="359C310F"/>
    <w:rsid w:val="35A521CE"/>
    <w:rsid w:val="35B213BD"/>
    <w:rsid w:val="35B966B1"/>
    <w:rsid w:val="35D46B3A"/>
    <w:rsid w:val="35D51DBF"/>
    <w:rsid w:val="35DA4536"/>
    <w:rsid w:val="35E84393"/>
    <w:rsid w:val="35E84B8B"/>
    <w:rsid w:val="35E902F3"/>
    <w:rsid w:val="35F42D38"/>
    <w:rsid w:val="35F91A38"/>
    <w:rsid w:val="35FE0426"/>
    <w:rsid w:val="35FE3BB6"/>
    <w:rsid w:val="36014E3D"/>
    <w:rsid w:val="360A4309"/>
    <w:rsid w:val="362071B7"/>
    <w:rsid w:val="36212310"/>
    <w:rsid w:val="3627005D"/>
    <w:rsid w:val="362D208A"/>
    <w:rsid w:val="362D3444"/>
    <w:rsid w:val="3630166A"/>
    <w:rsid w:val="36307067"/>
    <w:rsid w:val="363D24DB"/>
    <w:rsid w:val="364B1453"/>
    <w:rsid w:val="365612FD"/>
    <w:rsid w:val="366F7409"/>
    <w:rsid w:val="3679323D"/>
    <w:rsid w:val="367B5328"/>
    <w:rsid w:val="367C00B9"/>
    <w:rsid w:val="3683254E"/>
    <w:rsid w:val="368500BA"/>
    <w:rsid w:val="368D0718"/>
    <w:rsid w:val="369F3976"/>
    <w:rsid w:val="36A135A2"/>
    <w:rsid w:val="36A37232"/>
    <w:rsid w:val="36A463AB"/>
    <w:rsid w:val="36B41138"/>
    <w:rsid w:val="36B472F1"/>
    <w:rsid w:val="36B9522A"/>
    <w:rsid w:val="36BB3856"/>
    <w:rsid w:val="36C5581F"/>
    <w:rsid w:val="36C81141"/>
    <w:rsid w:val="36CD7389"/>
    <w:rsid w:val="36D13794"/>
    <w:rsid w:val="36D72340"/>
    <w:rsid w:val="36DE7C1C"/>
    <w:rsid w:val="36E14E00"/>
    <w:rsid w:val="36E25F5F"/>
    <w:rsid w:val="36E33B5F"/>
    <w:rsid w:val="36EE7787"/>
    <w:rsid w:val="36F2074A"/>
    <w:rsid w:val="36F5338D"/>
    <w:rsid w:val="36F56D67"/>
    <w:rsid w:val="36F83E49"/>
    <w:rsid w:val="36FC0FFF"/>
    <w:rsid w:val="36FF2945"/>
    <w:rsid w:val="36FF4A87"/>
    <w:rsid w:val="37040D59"/>
    <w:rsid w:val="370F689A"/>
    <w:rsid w:val="37154641"/>
    <w:rsid w:val="37175445"/>
    <w:rsid w:val="371A3AF7"/>
    <w:rsid w:val="371C0798"/>
    <w:rsid w:val="371C5C5C"/>
    <w:rsid w:val="37210301"/>
    <w:rsid w:val="37263A89"/>
    <w:rsid w:val="374171DF"/>
    <w:rsid w:val="374C5765"/>
    <w:rsid w:val="375F7886"/>
    <w:rsid w:val="376143B2"/>
    <w:rsid w:val="376143FD"/>
    <w:rsid w:val="376932B2"/>
    <w:rsid w:val="376B3CF8"/>
    <w:rsid w:val="376D57C1"/>
    <w:rsid w:val="376D5F6C"/>
    <w:rsid w:val="37700AEC"/>
    <w:rsid w:val="37772176"/>
    <w:rsid w:val="377A726D"/>
    <w:rsid w:val="379C006D"/>
    <w:rsid w:val="379C71E3"/>
    <w:rsid w:val="37A310CE"/>
    <w:rsid w:val="37BA4003"/>
    <w:rsid w:val="37C700E5"/>
    <w:rsid w:val="37CA05AF"/>
    <w:rsid w:val="37CD3F5C"/>
    <w:rsid w:val="37CE788A"/>
    <w:rsid w:val="37D0219F"/>
    <w:rsid w:val="37E2057F"/>
    <w:rsid w:val="37E20845"/>
    <w:rsid w:val="37EA43F2"/>
    <w:rsid w:val="37EE6A86"/>
    <w:rsid w:val="37F30DCD"/>
    <w:rsid w:val="37F4207B"/>
    <w:rsid w:val="37F52D97"/>
    <w:rsid w:val="38005B26"/>
    <w:rsid w:val="38015F17"/>
    <w:rsid w:val="38046E64"/>
    <w:rsid w:val="3810753D"/>
    <w:rsid w:val="3817330D"/>
    <w:rsid w:val="381B27FE"/>
    <w:rsid w:val="381B7650"/>
    <w:rsid w:val="381E38CE"/>
    <w:rsid w:val="3825542A"/>
    <w:rsid w:val="382D119B"/>
    <w:rsid w:val="382F54EE"/>
    <w:rsid w:val="38303DCF"/>
    <w:rsid w:val="383723C0"/>
    <w:rsid w:val="383F2D16"/>
    <w:rsid w:val="384E39DC"/>
    <w:rsid w:val="385A26DB"/>
    <w:rsid w:val="3862042D"/>
    <w:rsid w:val="386F4800"/>
    <w:rsid w:val="38891A4C"/>
    <w:rsid w:val="388D14DC"/>
    <w:rsid w:val="38987563"/>
    <w:rsid w:val="38AE3672"/>
    <w:rsid w:val="38B01FA7"/>
    <w:rsid w:val="38B02E39"/>
    <w:rsid w:val="38B77459"/>
    <w:rsid w:val="38C529E3"/>
    <w:rsid w:val="38DA1631"/>
    <w:rsid w:val="38DA4CD2"/>
    <w:rsid w:val="38DB36D0"/>
    <w:rsid w:val="38E46DD3"/>
    <w:rsid w:val="38E473B5"/>
    <w:rsid w:val="38E56C49"/>
    <w:rsid w:val="38F71996"/>
    <w:rsid w:val="38FF4DF8"/>
    <w:rsid w:val="38FF4E69"/>
    <w:rsid w:val="390166F6"/>
    <w:rsid w:val="390560A0"/>
    <w:rsid w:val="39083AD0"/>
    <w:rsid w:val="390850B4"/>
    <w:rsid w:val="390F6504"/>
    <w:rsid w:val="391060DB"/>
    <w:rsid w:val="391A0D07"/>
    <w:rsid w:val="391C71F3"/>
    <w:rsid w:val="392418A1"/>
    <w:rsid w:val="39250242"/>
    <w:rsid w:val="39256881"/>
    <w:rsid w:val="3930728D"/>
    <w:rsid w:val="39357CF2"/>
    <w:rsid w:val="39382833"/>
    <w:rsid w:val="393D350E"/>
    <w:rsid w:val="394E09B1"/>
    <w:rsid w:val="3951224F"/>
    <w:rsid w:val="395C609C"/>
    <w:rsid w:val="396B36FD"/>
    <w:rsid w:val="39752FD3"/>
    <w:rsid w:val="397945C4"/>
    <w:rsid w:val="39794E6C"/>
    <w:rsid w:val="397C14C1"/>
    <w:rsid w:val="3983035A"/>
    <w:rsid w:val="399564DE"/>
    <w:rsid w:val="39B051C8"/>
    <w:rsid w:val="39B12CEE"/>
    <w:rsid w:val="39C02D14"/>
    <w:rsid w:val="39C21425"/>
    <w:rsid w:val="39D075BC"/>
    <w:rsid w:val="39D242D0"/>
    <w:rsid w:val="39D606C1"/>
    <w:rsid w:val="39FE502A"/>
    <w:rsid w:val="3A005724"/>
    <w:rsid w:val="3A011814"/>
    <w:rsid w:val="3A015A23"/>
    <w:rsid w:val="3A045513"/>
    <w:rsid w:val="3A1275C1"/>
    <w:rsid w:val="3A136B0C"/>
    <w:rsid w:val="3A1D70AA"/>
    <w:rsid w:val="3A1E0383"/>
    <w:rsid w:val="3A2D4294"/>
    <w:rsid w:val="3A2E715E"/>
    <w:rsid w:val="3A422165"/>
    <w:rsid w:val="3A446615"/>
    <w:rsid w:val="3A50550F"/>
    <w:rsid w:val="3A544461"/>
    <w:rsid w:val="3A5815DA"/>
    <w:rsid w:val="3A5A0712"/>
    <w:rsid w:val="3A5B269C"/>
    <w:rsid w:val="3A5B7B64"/>
    <w:rsid w:val="3A5C2942"/>
    <w:rsid w:val="3A741AAF"/>
    <w:rsid w:val="3A7506B8"/>
    <w:rsid w:val="3A7E159B"/>
    <w:rsid w:val="3A7E3173"/>
    <w:rsid w:val="3A866326"/>
    <w:rsid w:val="3A8C0FEC"/>
    <w:rsid w:val="3A8D72B7"/>
    <w:rsid w:val="3A9104BC"/>
    <w:rsid w:val="3A983845"/>
    <w:rsid w:val="3AA003B0"/>
    <w:rsid w:val="3AB42B2C"/>
    <w:rsid w:val="3AB66980"/>
    <w:rsid w:val="3ABC3621"/>
    <w:rsid w:val="3AC0143A"/>
    <w:rsid w:val="3AC200BD"/>
    <w:rsid w:val="3ACC0298"/>
    <w:rsid w:val="3AD153F6"/>
    <w:rsid w:val="3AD25E39"/>
    <w:rsid w:val="3ADB1C49"/>
    <w:rsid w:val="3ADC17DD"/>
    <w:rsid w:val="3AED3A1B"/>
    <w:rsid w:val="3AF410E4"/>
    <w:rsid w:val="3AF64F6D"/>
    <w:rsid w:val="3B043CB8"/>
    <w:rsid w:val="3B062C6C"/>
    <w:rsid w:val="3B084061"/>
    <w:rsid w:val="3B0C61F6"/>
    <w:rsid w:val="3B16567D"/>
    <w:rsid w:val="3B1764A5"/>
    <w:rsid w:val="3B1D703D"/>
    <w:rsid w:val="3B1F2605"/>
    <w:rsid w:val="3B266CDA"/>
    <w:rsid w:val="3B2714BA"/>
    <w:rsid w:val="3B2B37FB"/>
    <w:rsid w:val="3B2D3296"/>
    <w:rsid w:val="3B2F5E97"/>
    <w:rsid w:val="3B4C015D"/>
    <w:rsid w:val="3B5B608C"/>
    <w:rsid w:val="3B6471E0"/>
    <w:rsid w:val="3B6F43A1"/>
    <w:rsid w:val="3B704C63"/>
    <w:rsid w:val="3B716BD9"/>
    <w:rsid w:val="3B7408D5"/>
    <w:rsid w:val="3B814038"/>
    <w:rsid w:val="3B817143"/>
    <w:rsid w:val="3B851344"/>
    <w:rsid w:val="3B9A2406"/>
    <w:rsid w:val="3BA64AD4"/>
    <w:rsid w:val="3BA84C55"/>
    <w:rsid w:val="3BAF7A80"/>
    <w:rsid w:val="3BB56AC5"/>
    <w:rsid w:val="3BB85853"/>
    <w:rsid w:val="3BC25FCD"/>
    <w:rsid w:val="3BC94DFF"/>
    <w:rsid w:val="3BD05797"/>
    <w:rsid w:val="3BD2757A"/>
    <w:rsid w:val="3BD615D3"/>
    <w:rsid w:val="3BE1374F"/>
    <w:rsid w:val="3BE66B81"/>
    <w:rsid w:val="3BFC29BB"/>
    <w:rsid w:val="3C152C4C"/>
    <w:rsid w:val="3C206E3B"/>
    <w:rsid w:val="3C28564C"/>
    <w:rsid w:val="3C2A1730"/>
    <w:rsid w:val="3C2A5857"/>
    <w:rsid w:val="3C2C64E4"/>
    <w:rsid w:val="3C3540A7"/>
    <w:rsid w:val="3C39154C"/>
    <w:rsid w:val="3C3D7530"/>
    <w:rsid w:val="3C451F28"/>
    <w:rsid w:val="3C4536F3"/>
    <w:rsid w:val="3C463BC1"/>
    <w:rsid w:val="3C46687A"/>
    <w:rsid w:val="3C4B487C"/>
    <w:rsid w:val="3C4D0424"/>
    <w:rsid w:val="3C4E0602"/>
    <w:rsid w:val="3C776471"/>
    <w:rsid w:val="3C7C71DD"/>
    <w:rsid w:val="3C865DBE"/>
    <w:rsid w:val="3C9174AA"/>
    <w:rsid w:val="3C922705"/>
    <w:rsid w:val="3C974737"/>
    <w:rsid w:val="3C9A1FDA"/>
    <w:rsid w:val="3CA866E4"/>
    <w:rsid w:val="3CB33D5F"/>
    <w:rsid w:val="3CB82972"/>
    <w:rsid w:val="3CBC20D5"/>
    <w:rsid w:val="3CBF5F14"/>
    <w:rsid w:val="3CD07125"/>
    <w:rsid w:val="3CD236A7"/>
    <w:rsid w:val="3CDA6D92"/>
    <w:rsid w:val="3CE4077A"/>
    <w:rsid w:val="3CE86EF6"/>
    <w:rsid w:val="3CEA62C2"/>
    <w:rsid w:val="3CED2E5C"/>
    <w:rsid w:val="3CF0127F"/>
    <w:rsid w:val="3CFE2C32"/>
    <w:rsid w:val="3D016604"/>
    <w:rsid w:val="3D0511A4"/>
    <w:rsid w:val="3D0B655E"/>
    <w:rsid w:val="3D133CC2"/>
    <w:rsid w:val="3D21532C"/>
    <w:rsid w:val="3D28055E"/>
    <w:rsid w:val="3D2A34F2"/>
    <w:rsid w:val="3D3303D5"/>
    <w:rsid w:val="3D4B7579"/>
    <w:rsid w:val="3D4D4D1B"/>
    <w:rsid w:val="3D505308"/>
    <w:rsid w:val="3D5C291F"/>
    <w:rsid w:val="3D605157"/>
    <w:rsid w:val="3D614504"/>
    <w:rsid w:val="3D65778C"/>
    <w:rsid w:val="3D731235"/>
    <w:rsid w:val="3D760988"/>
    <w:rsid w:val="3D915D21"/>
    <w:rsid w:val="3D932332"/>
    <w:rsid w:val="3D982F7E"/>
    <w:rsid w:val="3DAB0DAE"/>
    <w:rsid w:val="3DB401A1"/>
    <w:rsid w:val="3DB61E81"/>
    <w:rsid w:val="3DB6519B"/>
    <w:rsid w:val="3DC70D32"/>
    <w:rsid w:val="3DCD5184"/>
    <w:rsid w:val="3DE42D7C"/>
    <w:rsid w:val="3DE5646A"/>
    <w:rsid w:val="3DEA01AE"/>
    <w:rsid w:val="3DEB1107"/>
    <w:rsid w:val="3DF623CF"/>
    <w:rsid w:val="3E064994"/>
    <w:rsid w:val="3E0E20C8"/>
    <w:rsid w:val="3E0F5184"/>
    <w:rsid w:val="3E1C0B1A"/>
    <w:rsid w:val="3E1E026E"/>
    <w:rsid w:val="3E1F291C"/>
    <w:rsid w:val="3E2148E6"/>
    <w:rsid w:val="3E2B7513"/>
    <w:rsid w:val="3E3728CB"/>
    <w:rsid w:val="3E3A0A18"/>
    <w:rsid w:val="3E420742"/>
    <w:rsid w:val="3E460E26"/>
    <w:rsid w:val="3E5503B9"/>
    <w:rsid w:val="3E582D4F"/>
    <w:rsid w:val="3E5D42D6"/>
    <w:rsid w:val="3E5D7056"/>
    <w:rsid w:val="3E617DA5"/>
    <w:rsid w:val="3E6A0B86"/>
    <w:rsid w:val="3E6A6652"/>
    <w:rsid w:val="3E710E3C"/>
    <w:rsid w:val="3E725142"/>
    <w:rsid w:val="3E8168EB"/>
    <w:rsid w:val="3E8344F0"/>
    <w:rsid w:val="3E84400D"/>
    <w:rsid w:val="3E881D5F"/>
    <w:rsid w:val="3E901FE0"/>
    <w:rsid w:val="3E936D01"/>
    <w:rsid w:val="3E9F1DE1"/>
    <w:rsid w:val="3EA90437"/>
    <w:rsid w:val="3EAF1841"/>
    <w:rsid w:val="3EB2553E"/>
    <w:rsid w:val="3EC7165C"/>
    <w:rsid w:val="3EC87D82"/>
    <w:rsid w:val="3EC948C9"/>
    <w:rsid w:val="3ED72BD6"/>
    <w:rsid w:val="3EE23465"/>
    <w:rsid w:val="3EE913DA"/>
    <w:rsid w:val="3EEC1E7E"/>
    <w:rsid w:val="3EEE11B6"/>
    <w:rsid w:val="3EF734DD"/>
    <w:rsid w:val="3EF76BEA"/>
    <w:rsid w:val="3EF86327"/>
    <w:rsid w:val="3EFD51FC"/>
    <w:rsid w:val="3F080EBB"/>
    <w:rsid w:val="3F0B794B"/>
    <w:rsid w:val="3F1326A8"/>
    <w:rsid w:val="3F1818ED"/>
    <w:rsid w:val="3F192014"/>
    <w:rsid w:val="3F1F373D"/>
    <w:rsid w:val="3F2004D3"/>
    <w:rsid w:val="3F24292D"/>
    <w:rsid w:val="3F251461"/>
    <w:rsid w:val="3F2738E9"/>
    <w:rsid w:val="3F2B4133"/>
    <w:rsid w:val="3F3E0EF0"/>
    <w:rsid w:val="3F3E50A9"/>
    <w:rsid w:val="3F491655"/>
    <w:rsid w:val="3F4C08C3"/>
    <w:rsid w:val="3F4C2CE4"/>
    <w:rsid w:val="3F507DDB"/>
    <w:rsid w:val="3F5628F7"/>
    <w:rsid w:val="3F59560F"/>
    <w:rsid w:val="3F5C269E"/>
    <w:rsid w:val="3F636838"/>
    <w:rsid w:val="3F696D4F"/>
    <w:rsid w:val="3F6C2495"/>
    <w:rsid w:val="3F743266"/>
    <w:rsid w:val="3F746C97"/>
    <w:rsid w:val="3F8E7D59"/>
    <w:rsid w:val="3FA7647F"/>
    <w:rsid w:val="3FB86B84"/>
    <w:rsid w:val="3FBD70AA"/>
    <w:rsid w:val="3FBE7A42"/>
    <w:rsid w:val="3FC352BB"/>
    <w:rsid w:val="3FC9758D"/>
    <w:rsid w:val="3FCE3493"/>
    <w:rsid w:val="3FD22CEA"/>
    <w:rsid w:val="3FE3554C"/>
    <w:rsid w:val="3FE52AA4"/>
    <w:rsid w:val="3FE61C22"/>
    <w:rsid w:val="3FE742EB"/>
    <w:rsid w:val="3FEF5F2B"/>
    <w:rsid w:val="3FFB4CB1"/>
    <w:rsid w:val="40035AFF"/>
    <w:rsid w:val="400B13AA"/>
    <w:rsid w:val="40144CB8"/>
    <w:rsid w:val="40162C68"/>
    <w:rsid w:val="401A5F0B"/>
    <w:rsid w:val="40292EB8"/>
    <w:rsid w:val="40372619"/>
    <w:rsid w:val="403C5695"/>
    <w:rsid w:val="405C06B7"/>
    <w:rsid w:val="40760B0A"/>
    <w:rsid w:val="40814663"/>
    <w:rsid w:val="408B257E"/>
    <w:rsid w:val="408B67D4"/>
    <w:rsid w:val="408E5B37"/>
    <w:rsid w:val="408F5F94"/>
    <w:rsid w:val="409C4C15"/>
    <w:rsid w:val="40AB10B6"/>
    <w:rsid w:val="40B95645"/>
    <w:rsid w:val="40BE6185"/>
    <w:rsid w:val="40BE6FA9"/>
    <w:rsid w:val="40C62B2D"/>
    <w:rsid w:val="40D406F8"/>
    <w:rsid w:val="40D471CD"/>
    <w:rsid w:val="40D60E10"/>
    <w:rsid w:val="40D72AD2"/>
    <w:rsid w:val="40DE261A"/>
    <w:rsid w:val="40E90FBF"/>
    <w:rsid w:val="40F341F9"/>
    <w:rsid w:val="40F931C5"/>
    <w:rsid w:val="40FA3050"/>
    <w:rsid w:val="41182347"/>
    <w:rsid w:val="412546ED"/>
    <w:rsid w:val="41392DCD"/>
    <w:rsid w:val="41402623"/>
    <w:rsid w:val="414A3C92"/>
    <w:rsid w:val="414A4154"/>
    <w:rsid w:val="414E31DB"/>
    <w:rsid w:val="41501DA2"/>
    <w:rsid w:val="415F4B2F"/>
    <w:rsid w:val="4168282C"/>
    <w:rsid w:val="4179550F"/>
    <w:rsid w:val="418378CE"/>
    <w:rsid w:val="418417B7"/>
    <w:rsid w:val="419C4C4E"/>
    <w:rsid w:val="41A73EA9"/>
    <w:rsid w:val="41B4781F"/>
    <w:rsid w:val="41C44619"/>
    <w:rsid w:val="41C757A4"/>
    <w:rsid w:val="41CE16F6"/>
    <w:rsid w:val="41D8166A"/>
    <w:rsid w:val="41DA21D5"/>
    <w:rsid w:val="41E07D3E"/>
    <w:rsid w:val="41E4763E"/>
    <w:rsid w:val="41EC5AA2"/>
    <w:rsid w:val="41FF1A00"/>
    <w:rsid w:val="42006FBB"/>
    <w:rsid w:val="420159CA"/>
    <w:rsid w:val="42035565"/>
    <w:rsid w:val="420557BF"/>
    <w:rsid w:val="42071CA5"/>
    <w:rsid w:val="420D56EC"/>
    <w:rsid w:val="420E19C4"/>
    <w:rsid w:val="42141335"/>
    <w:rsid w:val="4220785A"/>
    <w:rsid w:val="42276427"/>
    <w:rsid w:val="422A5FC1"/>
    <w:rsid w:val="422E0FAE"/>
    <w:rsid w:val="422E5517"/>
    <w:rsid w:val="423115F7"/>
    <w:rsid w:val="4231716C"/>
    <w:rsid w:val="42325F69"/>
    <w:rsid w:val="423F17DF"/>
    <w:rsid w:val="42452E3B"/>
    <w:rsid w:val="424C1DF3"/>
    <w:rsid w:val="424D3EFC"/>
    <w:rsid w:val="424D77D5"/>
    <w:rsid w:val="425132C0"/>
    <w:rsid w:val="42547A9D"/>
    <w:rsid w:val="4258037E"/>
    <w:rsid w:val="426255E6"/>
    <w:rsid w:val="4269322C"/>
    <w:rsid w:val="426E17C6"/>
    <w:rsid w:val="427C2276"/>
    <w:rsid w:val="427F330F"/>
    <w:rsid w:val="42805A0E"/>
    <w:rsid w:val="42823479"/>
    <w:rsid w:val="42877CE1"/>
    <w:rsid w:val="428B450A"/>
    <w:rsid w:val="429612A3"/>
    <w:rsid w:val="42B65E20"/>
    <w:rsid w:val="42B74E7D"/>
    <w:rsid w:val="42C77A10"/>
    <w:rsid w:val="42CC6FE5"/>
    <w:rsid w:val="42CF1761"/>
    <w:rsid w:val="42D05C79"/>
    <w:rsid w:val="42D34D46"/>
    <w:rsid w:val="42F02320"/>
    <w:rsid w:val="4306097C"/>
    <w:rsid w:val="430D3CE3"/>
    <w:rsid w:val="431445A0"/>
    <w:rsid w:val="431B4647"/>
    <w:rsid w:val="432326E6"/>
    <w:rsid w:val="43257171"/>
    <w:rsid w:val="43274B4D"/>
    <w:rsid w:val="43291AE8"/>
    <w:rsid w:val="43406638"/>
    <w:rsid w:val="434F15AD"/>
    <w:rsid w:val="434F2038"/>
    <w:rsid w:val="43576F07"/>
    <w:rsid w:val="435C3CCA"/>
    <w:rsid w:val="4379337B"/>
    <w:rsid w:val="43803196"/>
    <w:rsid w:val="438241E2"/>
    <w:rsid w:val="438356FB"/>
    <w:rsid w:val="43842E4A"/>
    <w:rsid w:val="438F5CE1"/>
    <w:rsid w:val="439428ED"/>
    <w:rsid w:val="439873F8"/>
    <w:rsid w:val="43A13C8A"/>
    <w:rsid w:val="43A42F48"/>
    <w:rsid w:val="43A444EB"/>
    <w:rsid w:val="43B01245"/>
    <w:rsid w:val="43B12268"/>
    <w:rsid w:val="43B56D42"/>
    <w:rsid w:val="43C57C46"/>
    <w:rsid w:val="43C71A8C"/>
    <w:rsid w:val="43CC01DA"/>
    <w:rsid w:val="43CF0940"/>
    <w:rsid w:val="43D14C92"/>
    <w:rsid w:val="43D973C2"/>
    <w:rsid w:val="43DA3A9F"/>
    <w:rsid w:val="43E24989"/>
    <w:rsid w:val="43E25ED9"/>
    <w:rsid w:val="43E53CC0"/>
    <w:rsid w:val="43E66F23"/>
    <w:rsid w:val="43F355E7"/>
    <w:rsid w:val="43F7463A"/>
    <w:rsid w:val="43FC5D17"/>
    <w:rsid w:val="44017C6E"/>
    <w:rsid w:val="44133531"/>
    <w:rsid w:val="4427372C"/>
    <w:rsid w:val="44343E1B"/>
    <w:rsid w:val="44384737"/>
    <w:rsid w:val="44406449"/>
    <w:rsid w:val="4441183E"/>
    <w:rsid w:val="444366DD"/>
    <w:rsid w:val="444906F3"/>
    <w:rsid w:val="445F0CBD"/>
    <w:rsid w:val="446657BB"/>
    <w:rsid w:val="446B490C"/>
    <w:rsid w:val="44701884"/>
    <w:rsid w:val="44755901"/>
    <w:rsid w:val="447B4624"/>
    <w:rsid w:val="448118E9"/>
    <w:rsid w:val="44826240"/>
    <w:rsid w:val="448B4867"/>
    <w:rsid w:val="448D39CB"/>
    <w:rsid w:val="44966446"/>
    <w:rsid w:val="449838DD"/>
    <w:rsid w:val="449E5678"/>
    <w:rsid w:val="44A55716"/>
    <w:rsid w:val="44AC3B85"/>
    <w:rsid w:val="44AE0837"/>
    <w:rsid w:val="44BD3DDB"/>
    <w:rsid w:val="44BD404F"/>
    <w:rsid w:val="44BF0619"/>
    <w:rsid w:val="44C140B5"/>
    <w:rsid w:val="44C954B7"/>
    <w:rsid w:val="44CB1108"/>
    <w:rsid w:val="44CE2D33"/>
    <w:rsid w:val="44D0537B"/>
    <w:rsid w:val="44DB0028"/>
    <w:rsid w:val="44DC2681"/>
    <w:rsid w:val="44DD35CD"/>
    <w:rsid w:val="44E90A98"/>
    <w:rsid w:val="44EE72ED"/>
    <w:rsid w:val="44F42D53"/>
    <w:rsid w:val="44F77DA8"/>
    <w:rsid w:val="45065D4E"/>
    <w:rsid w:val="451937DF"/>
    <w:rsid w:val="4521043D"/>
    <w:rsid w:val="452310ED"/>
    <w:rsid w:val="45244A46"/>
    <w:rsid w:val="4528494B"/>
    <w:rsid w:val="452B1BA6"/>
    <w:rsid w:val="45301956"/>
    <w:rsid w:val="453D5CC2"/>
    <w:rsid w:val="453E7089"/>
    <w:rsid w:val="45463F3C"/>
    <w:rsid w:val="45506C9C"/>
    <w:rsid w:val="45521829"/>
    <w:rsid w:val="45661609"/>
    <w:rsid w:val="456A0652"/>
    <w:rsid w:val="4575401D"/>
    <w:rsid w:val="45886D4C"/>
    <w:rsid w:val="45CD0EA5"/>
    <w:rsid w:val="45D16BF2"/>
    <w:rsid w:val="45D93868"/>
    <w:rsid w:val="45DD775E"/>
    <w:rsid w:val="45E110A4"/>
    <w:rsid w:val="45E31539"/>
    <w:rsid w:val="45E64E49"/>
    <w:rsid w:val="45F20C69"/>
    <w:rsid w:val="45F2762F"/>
    <w:rsid w:val="45F525AA"/>
    <w:rsid w:val="4607616F"/>
    <w:rsid w:val="461376AC"/>
    <w:rsid w:val="46220AD2"/>
    <w:rsid w:val="462B35C6"/>
    <w:rsid w:val="462D47F1"/>
    <w:rsid w:val="46323802"/>
    <w:rsid w:val="463533AF"/>
    <w:rsid w:val="463D7A54"/>
    <w:rsid w:val="4642364B"/>
    <w:rsid w:val="464957FE"/>
    <w:rsid w:val="46511AE0"/>
    <w:rsid w:val="46516364"/>
    <w:rsid w:val="46542D5B"/>
    <w:rsid w:val="465670F7"/>
    <w:rsid w:val="465D1E8B"/>
    <w:rsid w:val="465F7901"/>
    <w:rsid w:val="46702CF4"/>
    <w:rsid w:val="46742768"/>
    <w:rsid w:val="468D39EA"/>
    <w:rsid w:val="469270CE"/>
    <w:rsid w:val="469504E7"/>
    <w:rsid w:val="46A2233C"/>
    <w:rsid w:val="46A50E9C"/>
    <w:rsid w:val="46CD2595"/>
    <w:rsid w:val="46D63B4C"/>
    <w:rsid w:val="46D96EF2"/>
    <w:rsid w:val="46DC5FE5"/>
    <w:rsid w:val="46F93852"/>
    <w:rsid w:val="46FC2262"/>
    <w:rsid w:val="470B0F9A"/>
    <w:rsid w:val="471F0F4D"/>
    <w:rsid w:val="47237085"/>
    <w:rsid w:val="4738774E"/>
    <w:rsid w:val="474D510F"/>
    <w:rsid w:val="47631F42"/>
    <w:rsid w:val="47661E77"/>
    <w:rsid w:val="476E3059"/>
    <w:rsid w:val="477D7247"/>
    <w:rsid w:val="478131A3"/>
    <w:rsid w:val="478C4814"/>
    <w:rsid w:val="479343B1"/>
    <w:rsid w:val="479938F5"/>
    <w:rsid w:val="47A257D0"/>
    <w:rsid w:val="47AD6EAF"/>
    <w:rsid w:val="47BB625F"/>
    <w:rsid w:val="47BD6A17"/>
    <w:rsid w:val="47C32DCE"/>
    <w:rsid w:val="47DC676B"/>
    <w:rsid w:val="47EF6F8C"/>
    <w:rsid w:val="47F6649C"/>
    <w:rsid w:val="47FC782A"/>
    <w:rsid w:val="47FE3D68"/>
    <w:rsid w:val="48054931"/>
    <w:rsid w:val="480A1F47"/>
    <w:rsid w:val="48146C3D"/>
    <w:rsid w:val="4814748A"/>
    <w:rsid w:val="4819662E"/>
    <w:rsid w:val="4821355A"/>
    <w:rsid w:val="48230D0B"/>
    <w:rsid w:val="482D1735"/>
    <w:rsid w:val="483938A7"/>
    <w:rsid w:val="483E14A0"/>
    <w:rsid w:val="483E6576"/>
    <w:rsid w:val="483E68AD"/>
    <w:rsid w:val="4840749A"/>
    <w:rsid w:val="4847576B"/>
    <w:rsid w:val="484F6E55"/>
    <w:rsid w:val="48557733"/>
    <w:rsid w:val="48723DFE"/>
    <w:rsid w:val="487815A8"/>
    <w:rsid w:val="487E2C5E"/>
    <w:rsid w:val="487F7C77"/>
    <w:rsid w:val="488E17AB"/>
    <w:rsid w:val="48AA3622"/>
    <w:rsid w:val="48AC1119"/>
    <w:rsid w:val="48B16866"/>
    <w:rsid w:val="48B517D8"/>
    <w:rsid w:val="48B63E7D"/>
    <w:rsid w:val="48C05523"/>
    <w:rsid w:val="48C2065A"/>
    <w:rsid w:val="48C46D98"/>
    <w:rsid w:val="48CC2EFE"/>
    <w:rsid w:val="48D64C79"/>
    <w:rsid w:val="48DE1B30"/>
    <w:rsid w:val="48EB1F4D"/>
    <w:rsid w:val="48F75633"/>
    <w:rsid w:val="4904108C"/>
    <w:rsid w:val="490A6BF1"/>
    <w:rsid w:val="490E56D8"/>
    <w:rsid w:val="49116CCD"/>
    <w:rsid w:val="49136D12"/>
    <w:rsid w:val="49160ECC"/>
    <w:rsid w:val="491E716C"/>
    <w:rsid w:val="49242EA6"/>
    <w:rsid w:val="492B03A1"/>
    <w:rsid w:val="492C214B"/>
    <w:rsid w:val="492E634C"/>
    <w:rsid w:val="493A685C"/>
    <w:rsid w:val="493E1E3B"/>
    <w:rsid w:val="49475DA2"/>
    <w:rsid w:val="494C74E2"/>
    <w:rsid w:val="4951606F"/>
    <w:rsid w:val="49567507"/>
    <w:rsid w:val="49591441"/>
    <w:rsid w:val="495D6558"/>
    <w:rsid w:val="495F7761"/>
    <w:rsid w:val="497A4C65"/>
    <w:rsid w:val="49802FCA"/>
    <w:rsid w:val="49882EE2"/>
    <w:rsid w:val="49A332D9"/>
    <w:rsid w:val="49AF4B6C"/>
    <w:rsid w:val="49B24F51"/>
    <w:rsid w:val="49B54F9E"/>
    <w:rsid w:val="49BA7910"/>
    <w:rsid w:val="49CC2DFF"/>
    <w:rsid w:val="49CC734A"/>
    <w:rsid w:val="49E14F29"/>
    <w:rsid w:val="49E36EF3"/>
    <w:rsid w:val="49F11125"/>
    <w:rsid w:val="49F5489E"/>
    <w:rsid w:val="49F66C27"/>
    <w:rsid w:val="49FD34FB"/>
    <w:rsid w:val="49FE0157"/>
    <w:rsid w:val="4A0453D3"/>
    <w:rsid w:val="4A0C4DA0"/>
    <w:rsid w:val="4A0E55BB"/>
    <w:rsid w:val="4A1E32D1"/>
    <w:rsid w:val="4A1E4537"/>
    <w:rsid w:val="4A266DE0"/>
    <w:rsid w:val="4A2E3D6D"/>
    <w:rsid w:val="4A31672F"/>
    <w:rsid w:val="4A3B5798"/>
    <w:rsid w:val="4A413C1A"/>
    <w:rsid w:val="4A480B4D"/>
    <w:rsid w:val="4A520CE9"/>
    <w:rsid w:val="4A5A246F"/>
    <w:rsid w:val="4A607171"/>
    <w:rsid w:val="4A723413"/>
    <w:rsid w:val="4A871123"/>
    <w:rsid w:val="4A88106B"/>
    <w:rsid w:val="4A8B2E5A"/>
    <w:rsid w:val="4A8D3E55"/>
    <w:rsid w:val="4A97152E"/>
    <w:rsid w:val="4A9F05E4"/>
    <w:rsid w:val="4A9F106C"/>
    <w:rsid w:val="4AA07079"/>
    <w:rsid w:val="4AA33784"/>
    <w:rsid w:val="4AAB100A"/>
    <w:rsid w:val="4ACB1D15"/>
    <w:rsid w:val="4AD36F68"/>
    <w:rsid w:val="4ADC55C7"/>
    <w:rsid w:val="4AE17228"/>
    <w:rsid w:val="4AE251BB"/>
    <w:rsid w:val="4AE32A22"/>
    <w:rsid w:val="4AEA6C1A"/>
    <w:rsid w:val="4AEA7E01"/>
    <w:rsid w:val="4AEB2F95"/>
    <w:rsid w:val="4AF01298"/>
    <w:rsid w:val="4AF020D2"/>
    <w:rsid w:val="4B0C247A"/>
    <w:rsid w:val="4B0F7545"/>
    <w:rsid w:val="4B101156"/>
    <w:rsid w:val="4B1478CE"/>
    <w:rsid w:val="4B184D7F"/>
    <w:rsid w:val="4B23473F"/>
    <w:rsid w:val="4B2F111D"/>
    <w:rsid w:val="4B4B11F4"/>
    <w:rsid w:val="4B620B8E"/>
    <w:rsid w:val="4B6769CC"/>
    <w:rsid w:val="4B7419BE"/>
    <w:rsid w:val="4B764CD4"/>
    <w:rsid w:val="4B82375C"/>
    <w:rsid w:val="4B887F4B"/>
    <w:rsid w:val="4B954E11"/>
    <w:rsid w:val="4B994CCC"/>
    <w:rsid w:val="4B9A5CD8"/>
    <w:rsid w:val="4BA95C32"/>
    <w:rsid w:val="4BAD5A0B"/>
    <w:rsid w:val="4BC80AB4"/>
    <w:rsid w:val="4BCC0E87"/>
    <w:rsid w:val="4BCF53A9"/>
    <w:rsid w:val="4BCF5981"/>
    <w:rsid w:val="4BD04531"/>
    <w:rsid w:val="4BD67C56"/>
    <w:rsid w:val="4BE3142D"/>
    <w:rsid w:val="4BEB208F"/>
    <w:rsid w:val="4BED5E07"/>
    <w:rsid w:val="4BED7820"/>
    <w:rsid w:val="4BEF5945"/>
    <w:rsid w:val="4BF01844"/>
    <w:rsid w:val="4BF11DCD"/>
    <w:rsid w:val="4BF6165A"/>
    <w:rsid w:val="4BFD7DAB"/>
    <w:rsid w:val="4BFF52E3"/>
    <w:rsid w:val="4C021C12"/>
    <w:rsid w:val="4C0E650C"/>
    <w:rsid w:val="4C100869"/>
    <w:rsid w:val="4C111054"/>
    <w:rsid w:val="4C274FFB"/>
    <w:rsid w:val="4C292863"/>
    <w:rsid w:val="4C2D186A"/>
    <w:rsid w:val="4C2F4E4F"/>
    <w:rsid w:val="4C332276"/>
    <w:rsid w:val="4C43011D"/>
    <w:rsid w:val="4C442679"/>
    <w:rsid w:val="4C5C2F75"/>
    <w:rsid w:val="4C6A38FC"/>
    <w:rsid w:val="4C714A53"/>
    <w:rsid w:val="4C75102A"/>
    <w:rsid w:val="4C786019"/>
    <w:rsid w:val="4C8756E3"/>
    <w:rsid w:val="4C942430"/>
    <w:rsid w:val="4CA34786"/>
    <w:rsid w:val="4CB40220"/>
    <w:rsid w:val="4CB441B7"/>
    <w:rsid w:val="4CBE7DA2"/>
    <w:rsid w:val="4CC0288D"/>
    <w:rsid w:val="4CC4300C"/>
    <w:rsid w:val="4CC6471F"/>
    <w:rsid w:val="4CC72EE2"/>
    <w:rsid w:val="4CCD2955"/>
    <w:rsid w:val="4CD1762F"/>
    <w:rsid w:val="4CD912D2"/>
    <w:rsid w:val="4CE4720A"/>
    <w:rsid w:val="4D00609D"/>
    <w:rsid w:val="4D077EE0"/>
    <w:rsid w:val="4D1C2ACF"/>
    <w:rsid w:val="4D2743E9"/>
    <w:rsid w:val="4D276C89"/>
    <w:rsid w:val="4D345A44"/>
    <w:rsid w:val="4D3D35F6"/>
    <w:rsid w:val="4D3F4BC5"/>
    <w:rsid w:val="4D4414F8"/>
    <w:rsid w:val="4D4619E2"/>
    <w:rsid w:val="4D4A0F17"/>
    <w:rsid w:val="4D527724"/>
    <w:rsid w:val="4D790D71"/>
    <w:rsid w:val="4D7A0A69"/>
    <w:rsid w:val="4D7D39AD"/>
    <w:rsid w:val="4D922767"/>
    <w:rsid w:val="4D946B05"/>
    <w:rsid w:val="4D9A3C2A"/>
    <w:rsid w:val="4DA75C00"/>
    <w:rsid w:val="4DAB1AD6"/>
    <w:rsid w:val="4DAF3530"/>
    <w:rsid w:val="4DB36491"/>
    <w:rsid w:val="4DB841F3"/>
    <w:rsid w:val="4DB86B2E"/>
    <w:rsid w:val="4DC53920"/>
    <w:rsid w:val="4DE25925"/>
    <w:rsid w:val="4DE75818"/>
    <w:rsid w:val="4DF07773"/>
    <w:rsid w:val="4DF3745D"/>
    <w:rsid w:val="4DFC51AF"/>
    <w:rsid w:val="4E02186F"/>
    <w:rsid w:val="4E095A2D"/>
    <w:rsid w:val="4E0C6DD7"/>
    <w:rsid w:val="4E173656"/>
    <w:rsid w:val="4E203007"/>
    <w:rsid w:val="4E231FB4"/>
    <w:rsid w:val="4E2D5C23"/>
    <w:rsid w:val="4E335443"/>
    <w:rsid w:val="4E3D1604"/>
    <w:rsid w:val="4E476525"/>
    <w:rsid w:val="4E496281"/>
    <w:rsid w:val="4E5008D0"/>
    <w:rsid w:val="4E53371C"/>
    <w:rsid w:val="4E573A0C"/>
    <w:rsid w:val="4E58159E"/>
    <w:rsid w:val="4E5B643C"/>
    <w:rsid w:val="4E5D234F"/>
    <w:rsid w:val="4E6B74B7"/>
    <w:rsid w:val="4E801373"/>
    <w:rsid w:val="4E880069"/>
    <w:rsid w:val="4E984160"/>
    <w:rsid w:val="4E9849D1"/>
    <w:rsid w:val="4EA03E4B"/>
    <w:rsid w:val="4EA04310"/>
    <w:rsid w:val="4EA13C73"/>
    <w:rsid w:val="4EA201A6"/>
    <w:rsid w:val="4EA50C1B"/>
    <w:rsid w:val="4EA76741"/>
    <w:rsid w:val="4EA76B48"/>
    <w:rsid w:val="4EA8522E"/>
    <w:rsid w:val="4EA86138"/>
    <w:rsid w:val="4EB15812"/>
    <w:rsid w:val="4EB165DA"/>
    <w:rsid w:val="4EBD34B1"/>
    <w:rsid w:val="4EC90332"/>
    <w:rsid w:val="4EC97EFF"/>
    <w:rsid w:val="4ECA0682"/>
    <w:rsid w:val="4ED03E3A"/>
    <w:rsid w:val="4ED160CD"/>
    <w:rsid w:val="4ED958B3"/>
    <w:rsid w:val="4EDA7C2A"/>
    <w:rsid w:val="4EDA7D18"/>
    <w:rsid w:val="4EE27892"/>
    <w:rsid w:val="4EEA614B"/>
    <w:rsid w:val="4EEC24FC"/>
    <w:rsid w:val="4EF40663"/>
    <w:rsid w:val="4EF81ADC"/>
    <w:rsid w:val="4EFD32E6"/>
    <w:rsid w:val="4F0022F6"/>
    <w:rsid w:val="4F03106D"/>
    <w:rsid w:val="4F0E4A13"/>
    <w:rsid w:val="4F210C94"/>
    <w:rsid w:val="4F255EAC"/>
    <w:rsid w:val="4F26273B"/>
    <w:rsid w:val="4F310701"/>
    <w:rsid w:val="4F38383D"/>
    <w:rsid w:val="4F3D7711"/>
    <w:rsid w:val="4F410DF7"/>
    <w:rsid w:val="4F487FC3"/>
    <w:rsid w:val="4F4C72E9"/>
    <w:rsid w:val="4F51292F"/>
    <w:rsid w:val="4F552D33"/>
    <w:rsid w:val="4F5B14D9"/>
    <w:rsid w:val="4F65162F"/>
    <w:rsid w:val="4F6C5BB4"/>
    <w:rsid w:val="4F6E72A4"/>
    <w:rsid w:val="4F7D39F4"/>
    <w:rsid w:val="4FA865B4"/>
    <w:rsid w:val="4FAF4BA3"/>
    <w:rsid w:val="4FB05807"/>
    <w:rsid w:val="4FC0327F"/>
    <w:rsid w:val="4FC724D1"/>
    <w:rsid w:val="4FCA4F19"/>
    <w:rsid w:val="4FCF1F30"/>
    <w:rsid w:val="4FED6147"/>
    <w:rsid w:val="4FEE6001"/>
    <w:rsid w:val="4FF165EA"/>
    <w:rsid w:val="4FF63431"/>
    <w:rsid w:val="4FFA6D45"/>
    <w:rsid w:val="4FFE3DB8"/>
    <w:rsid w:val="50096918"/>
    <w:rsid w:val="500F47D9"/>
    <w:rsid w:val="50131C6A"/>
    <w:rsid w:val="501456C3"/>
    <w:rsid w:val="50204D52"/>
    <w:rsid w:val="50271BEE"/>
    <w:rsid w:val="50447323"/>
    <w:rsid w:val="504A6ED1"/>
    <w:rsid w:val="50502E70"/>
    <w:rsid w:val="50535ECD"/>
    <w:rsid w:val="5055539F"/>
    <w:rsid w:val="505A44DA"/>
    <w:rsid w:val="505B522E"/>
    <w:rsid w:val="505F51E3"/>
    <w:rsid w:val="50630D8E"/>
    <w:rsid w:val="506B379F"/>
    <w:rsid w:val="507A5C30"/>
    <w:rsid w:val="50903755"/>
    <w:rsid w:val="509264D2"/>
    <w:rsid w:val="50970A38"/>
    <w:rsid w:val="509F5950"/>
    <w:rsid w:val="50AE32FC"/>
    <w:rsid w:val="50B91F04"/>
    <w:rsid w:val="50BC6A78"/>
    <w:rsid w:val="50C04607"/>
    <w:rsid w:val="50C8299F"/>
    <w:rsid w:val="50CC24EF"/>
    <w:rsid w:val="50CD43AE"/>
    <w:rsid w:val="50CF27CF"/>
    <w:rsid w:val="50D5010F"/>
    <w:rsid w:val="50D53AD2"/>
    <w:rsid w:val="50E20CDC"/>
    <w:rsid w:val="50EE4AFC"/>
    <w:rsid w:val="50F723B6"/>
    <w:rsid w:val="50F9007A"/>
    <w:rsid w:val="51007CD6"/>
    <w:rsid w:val="510E51AF"/>
    <w:rsid w:val="513C254C"/>
    <w:rsid w:val="513E0EB3"/>
    <w:rsid w:val="5143017C"/>
    <w:rsid w:val="5144296E"/>
    <w:rsid w:val="514B72BE"/>
    <w:rsid w:val="515A6B5A"/>
    <w:rsid w:val="51602431"/>
    <w:rsid w:val="517263D6"/>
    <w:rsid w:val="51767EE3"/>
    <w:rsid w:val="517D2EFB"/>
    <w:rsid w:val="51922F5A"/>
    <w:rsid w:val="519D0416"/>
    <w:rsid w:val="51AF4317"/>
    <w:rsid w:val="51B07CB8"/>
    <w:rsid w:val="51B66425"/>
    <w:rsid w:val="51CE092B"/>
    <w:rsid w:val="51CE1A47"/>
    <w:rsid w:val="51DA3923"/>
    <w:rsid w:val="51DD247A"/>
    <w:rsid w:val="51E31A7B"/>
    <w:rsid w:val="51E657D3"/>
    <w:rsid w:val="51FB7B1F"/>
    <w:rsid w:val="51FF6894"/>
    <w:rsid w:val="52000105"/>
    <w:rsid w:val="5207318C"/>
    <w:rsid w:val="520D4D19"/>
    <w:rsid w:val="521923F7"/>
    <w:rsid w:val="521C3303"/>
    <w:rsid w:val="521E2944"/>
    <w:rsid w:val="521F0E50"/>
    <w:rsid w:val="523512ED"/>
    <w:rsid w:val="523D2397"/>
    <w:rsid w:val="5245072F"/>
    <w:rsid w:val="5248054A"/>
    <w:rsid w:val="52527FF1"/>
    <w:rsid w:val="525A1D1D"/>
    <w:rsid w:val="525F679F"/>
    <w:rsid w:val="5268223A"/>
    <w:rsid w:val="526D53AB"/>
    <w:rsid w:val="52741030"/>
    <w:rsid w:val="527B0AEC"/>
    <w:rsid w:val="52826115"/>
    <w:rsid w:val="52833022"/>
    <w:rsid w:val="52843FE1"/>
    <w:rsid w:val="528C2FAD"/>
    <w:rsid w:val="528E1D4F"/>
    <w:rsid w:val="528F654D"/>
    <w:rsid w:val="52905F89"/>
    <w:rsid w:val="529A036B"/>
    <w:rsid w:val="529F4EF8"/>
    <w:rsid w:val="52A64F8A"/>
    <w:rsid w:val="52B458D1"/>
    <w:rsid w:val="52BA0BB6"/>
    <w:rsid w:val="52C5363A"/>
    <w:rsid w:val="52C57577"/>
    <w:rsid w:val="52D000D0"/>
    <w:rsid w:val="52D252A7"/>
    <w:rsid w:val="52DF237A"/>
    <w:rsid w:val="52F263F9"/>
    <w:rsid w:val="52F64A13"/>
    <w:rsid w:val="5304481A"/>
    <w:rsid w:val="530819EB"/>
    <w:rsid w:val="530C0615"/>
    <w:rsid w:val="530F49E6"/>
    <w:rsid w:val="53123CDE"/>
    <w:rsid w:val="5317179B"/>
    <w:rsid w:val="531B6A5B"/>
    <w:rsid w:val="53205EF7"/>
    <w:rsid w:val="532076DA"/>
    <w:rsid w:val="532145E9"/>
    <w:rsid w:val="53371470"/>
    <w:rsid w:val="533D76A3"/>
    <w:rsid w:val="53446A88"/>
    <w:rsid w:val="5347425E"/>
    <w:rsid w:val="534A67F1"/>
    <w:rsid w:val="534C0C0D"/>
    <w:rsid w:val="534F0386"/>
    <w:rsid w:val="535650AC"/>
    <w:rsid w:val="535C26C1"/>
    <w:rsid w:val="535C7F36"/>
    <w:rsid w:val="535F58CC"/>
    <w:rsid w:val="53655E35"/>
    <w:rsid w:val="53747F5D"/>
    <w:rsid w:val="53764622"/>
    <w:rsid w:val="53786370"/>
    <w:rsid w:val="537F7C8D"/>
    <w:rsid w:val="5381477A"/>
    <w:rsid w:val="53837051"/>
    <w:rsid w:val="538659B5"/>
    <w:rsid w:val="53876B64"/>
    <w:rsid w:val="53915BAC"/>
    <w:rsid w:val="539B24A8"/>
    <w:rsid w:val="539D76A4"/>
    <w:rsid w:val="53AA7F03"/>
    <w:rsid w:val="53AC4244"/>
    <w:rsid w:val="53AD10E3"/>
    <w:rsid w:val="53B003CE"/>
    <w:rsid w:val="53B93BFE"/>
    <w:rsid w:val="53DB42B2"/>
    <w:rsid w:val="53EE0842"/>
    <w:rsid w:val="53EF43DC"/>
    <w:rsid w:val="540D03B6"/>
    <w:rsid w:val="540E34D7"/>
    <w:rsid w:val="54170F93"/>
    <w:rsid w:val="54176E41"/>
    <w:rsid w:val="5425217B"/>
    <w:rsid w:val="54271E31"/>
    <w:rsid w:val="54325FAA"/>
    <w:rsid w:val="54326F8B"/>
    <w:rsid w:val="544610E2"/>
    <w:rsid w:val="544A3C49"/>
    <w:rsid w:val="54524B43"/>
    <w:rsid w:val="545B4A1E"/>
    <w:rsid w:val="545D78A2"/>
    <w:rsid w:val="54604B91"/>
    <w:rsid w:val="546926EB"/>
    <w:rsid w:val="54715CF5"/>
    <w:rsid w:val="54782C55"/>
    <w:rsid w:val="547A34DA"/>
    <w:rsid w:val="5484281F"/>
    <w:rsid w:val="54923CE4"/>
    <w:rsid w:val="54953CB2"/>
    <w:rsid w:val="54982702"/>
    <w:rsid w:val="549D314B"/>
    <w:rsid w:val="549E71D9"/>
    <w:rsid w:val="54A70797"/>
    <w:rsid w:val="54AF62EA"/>
    <w:rsid w:val="54C22377"/>
    <w:rsid w:val="54C44EED"/>
    <w:rsid w:val="54D44008"/>
    <w:rsid w:val="54E63D3C"/>
    <w:rsid w:val="54EA1C06"/>
    <w:rsid w:val="54F03056"/>
    <w:rsid w:val="54F84B51"/>
    <w:rsid w:val="54FA04B4"/>
    <w:rsid w:val="54FF2455"/>
    <w:rsid w:val="5504644D"/>
    <w:rsid w:val="55097264"/>
    <w:rsid w:val="550E7033"/>
    <w:rsid w:val="551C0FAC"/>
    <w:rsid w:val="552B1246"/>
    <w:rsid w:val="552F017C"/>
    <w:rsid w:val="554A4C3B"/>
    <w:rsid w:val="5555739E"/>
    <w:rsid w:val="5562662C"/>
    <w:rsid w:val="556A2744"/>
    <w:rsid w:val="5570285A"/>
    <w:rsid w:val="557667D8"/>
    <w:rsid w:val="5578059D"/>
    <w:rsid w:val="559D3197"/>
    <w:rsid w:val="55A470C8"/>
    <w:rsid w:val="55A54191"/>
    <w:rsid w:val="55AF05D2"/>
    <w:rsid w:val="55B343BF"/>
    <w:rsid w:val="55B66898"/>
    <w:rsid w:val="55B7589C"/>
    <w:rsid w:val="55C57A57"/>
    <w:rsid w:val="55CB40FD"/>
    <w:rsid w:val="55CE7FFE"/>
    <w:rsid w:val="55D30F3F"/>
    <w:rsid w:val="55D3606E"/>
    <w:rsid w:val="55D55E12"/>
    <w:rsid w:val="55DB1F79"/>
    <w:rsid w:val="55DE247F"/>
    <w:rsid w:val="55E22FF7"/>
    <w:rsid w:val="55E46A63"/>
    <w:rsid w:val="55E50B6E"/>
    <w:rsid w:val="55F06FB3"/>
    <w:rsid w:val="560C7A2A"/>
    <w:rsid w:val="560E0E7A"/>
    <w:rsid w:val="561140C5"/>
    <w:rsid w:val="561843C9"/>
    <w:rsid w:val="561D2C04"/>
    <w:rsid w:val="561D53E1"/>
    <w:rsid w:val="56266FAC"/>
    <w:rsid w:val="56281773"/>
    <w:rsid w:val="562B3E5D"/>
    <w:rsid w:val="562C2161"/>
    <w:rsid w:val="56312263"/>
    <w:rsid w:val="563C4670"/>
    <w:rsid w:val="5648127B"/>
    <w:rsid w:val="565A60B2"/>
    <w:rsid w:val="56712D5E"/>
    <w:rsid w:val="567809C3"/>
    <w:rsid w:val="567B0721"/>
    <w:rsid w:val="567D2C56"/>
    <w:rsid w:val="567D5FDA"/>
    <w:rsid w:val="56904132"/>
    <w:rsid w:val="569927DB"/>
    <w:rsid w:val="56A91CD5"/>
    <w:rsid w:val="56AA569C"/>
    <w:rsid w:val="56B30918"/>
    <w:rsid w:val="56BA09DC"/>
    <w:rsid w:val="56C05313"/>
    <w:rsid w:val="56CB4F97"/>
    <w:rsid w:val="56CE2ABD"/>
    <w:rsid w:val="56D10284"/>
    <w:rsid w:val="56D64D41"/>
    <w:rsid w:val="56DE116E"/>
    <w:rsid w:val="56E31A14"/>
    <w:rsid w:val="56E320CD"/>
    <w:rsid w:val="56EE7D7D"/>
    <w:rsid w:val="56F30DC2"/>
    <w:rsid w:val="56FD0451"/>
    <w:rsid w:val="570201DF"/>
    <w:rsid w:val="57034731"/>
    <w:rsid w:val="57044E9B"/>
    <w:rsid w:val="57087A19"/>
    <w:rsid w:val="570B504D"/>
    <w:rsid w:val="570D7459"/>
    <w:rsid w:val="570F6A09"/>
    <w:rsid w:val="572541A2"/>
    <w:rsid w:val="57295D0E"/>
    <w:rsid w:val="572D7A00"/>
    <w:rsid w:val="573214BA"/>
    <w:rsid w:val="5734598B"/>
    <w:rsid w:val="57420043"/>
    <w:rsid w:val="57442F9B"/>
    <w:rsid w:val="57447F05"/>
    <w:rsid w:val="574E6705"/>
    <w:rsid w:val="5752581A"/>
    <w:rsid w:val="575C2AD5"/>
    <w:rsid w:val="576115EA"/>
    <w:rsid w:val="57653388"/>
    <w:rsid w:val="576D65F7"/>
    <w:rsid w:val="578101FA"/>
    <w:rsid w:val="578B362A"/>
    <w:rsid w:val="578C1B88"/>
    <w:rsid w:val="57992012"/>
    <w:rsid w:val="579A5122"/>
    <w:rsid w:val="57A2219C"/>
    <w:rsid w:val="57A44166"/>
    <w:rsid w:val="57AE36FF"/>
    <w:rsid w:val="57B727CC"/>
    <w:rsid w:val="57C176DA"/>
    <w:rsid w:val="57C34A01"/>
    <w:rsid w:val="57CB7E78"/>
    <w:rsid w:val="57FD5624"/>
    <w:rsid w:val="58177B3B"/>
    <w:rsid w:val="581C0DD0"/>
    <w:rsid w:val="581C4A83"/>
    <w:rsid w:val="582B47AB"/>
    <w:rsid w:val="582E4A1B"/>
    <w:rsid w:val="58584F50"/>
    <w:rsid w:val="585D11C5"/>
    <w:rsid w:val="58612FD9"/>
    <w:rsid w:val="58776E6D"/>
    <w:rsid w:val="587800D8"/>
    <w:rsid w:val="588545C0"/>
    <w:rsid w:val="58937D37"/>
    <w:rsid w:val="589A344B"/>
    <w:rsid w:val="58B232E7"/>
    <w:rsid w:val="58B269D3"/>
    <w:rsid w:val="58B622F1"/>
    <w:rsid w:val="58B91C75"/>
    <w:rsid w:val="58B951F2"/>
    <w:rsid w:val="58BD47EB"/>
    <w:rsid w:val="58BD6886"/>
    <w:rsid w:val="58C008A9"/>
    <w:rsid w:val="58C35F46"/>
    <w:rsid w:val="58CA2CAF"/>
    <w:rsid w:val="58D66A00"/>
    <w:rsid w:val="58E00096"/>
    <w:rsid w:val="58EC16B0"/>
    <w:rsid w:val="58F673B8"/>
    <w:rsid w:val="59037FCD"/>
    <w:rsid w:val="590A0298"/>
    <w:rsid w:val="590F3861"/>
    <w:rsid w:val="5910537C"/>
    <w:rsid w:val="59262C99"/>
    <w:rsid w:val="59345076"/>
    <w:rsid w:val="59457DA5"/>
    <w:rsid w:val="594E66D2"/>
    <w:rsid w:val="59552B2C"/>
    <w:rsid w:val="59554FEC"/>
    <w:rsid w:val="59566C08"/>
    <w:rsid w:val="595A687C"/>
    <w:rsid w:val="596576B8"/>
    <w:rsid w:val="599975CF"/>
    <w:rsid w:val="59A929E7"/>
    <w:rsid w:val="59AA358A"/>
    <w:rsid w:val="59B73D07"/>
    <w:rsid w:val="59C24B36"/>
    <w:rsid w:val="59C9497B"/>
    <w:rsid w:val="59C9705D"/>
    <w:rsid w:val="59CE2EC4"/>
    <w:rsid w:val="59DB527A"/>
    <w:rsid w:val="59DE0BFC"/>
    <w:rsid w:val="59E6248C"/>
    <w:rsid w:val="59E82F62"/>
    <w:rsid w:val="59FF19D0"/>
    <w:rsid w:val="5A004ABE"/>
    <w:rsid w:val="5A02701C"/>
    <w:rsid w:val="5A027E85"/>
    <w:rsid w:val="5A0850AB"/>
    <w:rsid w:val="5A0955CE"/>
    <w:rsid w:val="5A0B6BA5"/>
    <w:rsid w:val="5A197E82"/>
    <w:rsid w:val="5A2B21E9"/>
    <w:rsid w:val="5A336288"/>
    <w:rsid w:val="5A37698F"/>
    <w:rsid w:val="5A3C6C7F"/>
    <w:rsid w:val="5A433827"/>
    <w:rsid w:val="5A566E5E"/>
    <w:rsid w:val="5A5C518E"/>
    <w:rsid w:val="5A601AC8"/>
    <w:rsid w:val="5A60512A"/>
    <w:rsid w:val="5A673229"/>
    <w:rsid w:val="5A7D7897"/>
    <w:rsid w:val="5A911161"/>
    <w:rsid w:val="5AA16A31"/>
    <w:rsid w:val="5AA249AA"/>
    <w:rsid w:val="5AA674F6"/>
    <w:rsid w:val="5AB0697E"/>
    <w:rsid w:val="5ABF12B7"/>
    <w:rsid w:val="5AC2470E"/>
    <w:rsid w:val="5AC71C01"/>
    <w:rsid w:val="5AC74DF8"/>
    <w:rsid w:val="5AD118F9"/>
    <w:rsid w:val="5AFD3445"/>
    <w:rsid w:val="5B0B00B6"/>
    <w:rsid w:val="5B190361"/>
    <w:rsid w:val="5B2D4472"/>
    <w:rsid w:val="5B330C83"/>
    <w:rsid w:val="5B352635"/>
    <w:rsid w:val="5B361CC4"/>
    <w:rsid w:val="5B500547"/>
    <w:rsid w:val="5B5928D4"/>
    <w:rsid w:val="5B6F0D86"/>
    <w:rsid w:val="5B717A9B"/>
    <w:rsid w:val="5B7B2EDA"/>
    <w:rsid w:val="5B7C22EA"/>
    <w:rsid w:val="5B7E332F"/>
    <w:rsid w:val="5B7F7B6B"/>
    <w:rsid w:val="5B8B1199"/>
    <w:rsid w:val="5B95087C"/>
    <w:rsid w:val="5B997423"/>
    <w:rsid w:val="5B9E579F"/>
    <w:rsid w:val="5BA61855"/>
    <w:rsid w:val="5BA91AD5"/>
    <w:rsid w:val="5BAA044D"/>
    <w:rsid w:val="5BB2371E"/>
    <w:rsid w:val="5BB84232"/>
    <w:rsid w:val="5BC00E43"/>
    <w:rsid w:val="5BC23C9E"/>
    <w:rsid w:val="5BC806D9"/>
    <w:rsid w:val="5BCA5A83"/>
    <w:rsid w:val="5BCB6275"/>
    <w:rsid w:val="5BCF4350"/>
    <w:rsid w:val="5BD17FF6"/>
    <w:rsid w:val="5BD566FC"/>
    <w:rsid w:val="5BE03894"/>
    <w:rsid w:val="5BEB0516"/>
    <w:rsid w:val="5BED758E"/>
    <w:rsid w:val="5BF1393C"/>
    <w:rsid w:val="5C000D58"/>
    <w:rsid w:val="5C185260"/>
    <w:rsid w:val="5C277380"/>
    <w:rsid w:val="5C291C9D"/>
    <w:rsid w:val="5C2A2760"/>
    <w:rsid w:val="5C2D0C63"/>
    <w:rsid w:val="5C2D2E69"/>
    <w:rsid w:val="5C311716"/>
    <w:rsid w:val="5C425CFC"/>
    <w:rsid w:val="5C4C0928"/>
    <w:rsid w:val="5C4F257E"/>
    <w:rsid w:val="5C507F46"/>
    <w:rsid w:val="5C522A60"/>
    <w:rsid w:val="5C5C3A04"/>
    <w:rsid w:val="5C5D0D87"/>
    <w:rsid w:val="5C692A36"/>
    <w:rsid w:val="5C6A6B18"/>
    <w:rsid w:val="5C6E34AD"/>
    <w:rsid w:val="5C733F3C"/>
    <w:rsid w:val="5C7E38CD"/>
    <w:rsid w:val="5C870226"/>
    <w:rsid w:val="5C8F46C4"/>
    <w:rsid w:val="5C9D1447"/>
    <w:rsid w:val="5CA20FE0"/>
    <w:rsid w:val="5CA249EC"/>
    <w:rsid w:val="5CA37748"/>
    <w:rsid w:val="5CA909C0"/>
    <w:rsid w:val="5CAF3340"/>
    <w:rsid w:val="5CBC5AAE"/>
    <w:rsid w:val="5CC21713"/>
    <w:rsid w:val="5CC46711"/>
    <w:rsid w:val="5CCD248D"/>
    <w:rsid w:val="5CD9561D"/>
    <w:rsid w:val="5CDE056A"/>
    <w:rsid w:val="5CE5210A"/>
    <w:rsid w:val="5CED4A45"/>
    <w:rsid w:val="5CF15C83"/>
    <w:rsid w:val="5CF81A48"/>
    <w:rsid w:val="5CF95D96"/>
    <w:rsid w:val="5CFB7A83"/>
    <w:rsid w:val="5CFE2B7F"/>
    <w:rsid w:val="5D071C74"/>
    <w:rsid w:val="5D091080"/>
    <w:rsid w:val="5D0C61F6"/>
    <w:rsid w:val="5D0D133D"/>
    <w:rsid w:val="5D16346C"/>
    <w:rsid w:val="5D183EF6"/>
    <w:rsid w:val="5D261D0F"/>
    <w:rsid w:val="5D2E7FED"/>
    <w:rsid w:val="5D3171A8"/>
    <w:rsid w:val="5D3448DE"/>
    <w:rsid w:val="5D3C501E"/>
    <w:rsid w:val="5D455B24"/>
    <w:rsid w:val="5D483A53"/>
    <w:rsid w:val="5D4D064C"/>
    <w:rsid w:val="5D4E0AC6"/>
    <w:rsid w:val="5D5C4039"/>
    <w:rsid w:val="5D660EF6"/>
    <w:rsid w:val="5D710E46"/>
    <w:rsid w:val="5D801F99"/>
    <w:rsid w:val="5D8D3C06"/>
    <w:rsid w:val="5D91379F"/>
    <w:rsid w:val="5D940EF9"/>
    <w:rsid w:val="5D9F39CE"/>
    <w:rsid w:val="5DAD49C2"/>
    <w:rsid w:val="5DAD787B"/>
    <w:rsid w:val="5DAD7E59"/>
    <w:rsid w:val="5DB5197B"/>
    <w:rsid w:val="5DCA2560"/>
    <w:rsid w:val="5DCF5403"/>
    <w:rsid w:val="5DD60F79"/>
    <w:rsid w:val="5DD63D41"/>
    <w:rsid w:val="5DDB2375"/>
    <w:rsid w:val="5DE958ED"/>
    <w:rsid w:val="5DEC4D1E"/>
    <w:rsid w:val="5DED4B54"/>
    <w:rsid w:val="5DEF733E"/>
    <w:rsid w:val="5E002D69"/>
    <w:rsid w:val="5E11392A"/>
    <w:rsid w:val="5E136911"/>
    <w:rsid w:val="5E14285D"/>
    <w:rsid w:val="5E1E6863"/>
    <w:rsid w:val="5E242F71"/>
    <w:rsid w:val="5E307CAD"/>
    <w:rsid w:val="5E3D74EC"/>
    <w:rsid w:val="5E4C4C6C"/>
    <w:rsid w:val="5E4C6A64"/>
    <w:rsid w:val="5E5C57AE"/>
    <w:rsid w:val="5E5D6E1D"/>
    <w:rsid w:val="5E600305"/>
    <w:rsid w:val="5E664979"/>
    <w:rsid w:val="5E6E102A"/>
    <w:rsid w:val="5E7C4C8F"/>
    <w:rsid w:val="5E820631"/>
    <w:rsid w:val="5E8215DB"/>
    <w:rsid w:val="5E83571F"/>
    <w:rsid w:val="5E8448FE"/>
    <w:rsid w:val="5E875C48"/>
    <w:rsid w:val="5E897C12"/>
    <w:rsid w:val="5E934F80"/>
    <w:rsid w:val="5E9556E7"/>
    <w:rsid w:val="5E9B16F3"/>
    <w:rsid w:val="5E9D4C8E"/>
    <w:rsid w:val="5E9F4C07"/>
    <w:rsid w:val="5EA30CD0"/>
    <w:rsid w:val="5EA4144C"/>
    <w:rsid w:val="5EAF7025"/>
    <w:rsid w:val="5EB01C79"/>
    <w:rsid w:val="5ECC52AD"/>
    <w:rsid w:val="5ED16CCD"/>
    <w:rsid w:val="5EDD045B"/>
    <w:rsid w:val="5EEC4FAC"/>
    <w:rsid w:val="5EF07C91"/>
    <w:rsid w:val="5EF92C02"/>
    <w:rsid w:val="5EFE7522"/>
    <w:rsid w:val="5F0944AE"/>
    <w:rsid w:val="5F183AB6"/>
    <w:rsid w:val="5F260A26"/>
    <w:rsid w:val="5F2D77C2"/>
    <w:rsid w:val="5F2F1453"/>
    <w:rsid w:val="5F3F2E89"/>
    <w:rsid w:val="5F410B77"/>
    <w:rsid w:val="5F4528EB"/>
    <w:rsid w:val="5F546472"/>
    <w:rsid w:val="5F5A1DD9"/>
    <w:rsid w:val="5F5A59B9"/>
    <w:rsid w:val="5F5B0252"/>
    <w:rsid w:val="5F5C6BDF"/>
    <w:rsid w:val="5F660DCA"/>
    <w:rsid w:val="5F683CCB"/>
    <w:rsid w:val="5F747522"/>
    <w:rsid w:val="5FA50358"/>
    <w:rsid w:val="5FA6034F"/>
    <w:rsid w:val="5FAA296A"/>
    <w:rsid w:val="5FAD31C8"/>
    <w:rsid w:val="5FB0523C"/>
    <w:rsid w:val="5FB37458"/>
    <w:rsid w:val="5FB6222C"/>
    <w:rsid w:val="5FC022A3"/>
    <w:rsid w:val="5FC63DD0"/>
    <w:rsid w:val="5FC71CE8"/>
    <w:rsid w:val="5FC936E5"/>
    <w:rsid w:val="5FCA5EDF"/>
    <w:rsid w:val="5FD4310E"/>
    <w:rsid w:val="5FD82DA6"/>
    <w:rsid w:val="5FDB01FD"/>
    <w:rsid w:val="5FDD3327"/>
    <w:rsid w:val="5FE5241E"/>
    <w:rsid w:val="5FED6964"/>
    <w:rsid w:val="5FF31BFF"/>
    <w:rsid w:val="5FF9258E"/>
    <w:rsid w:val="5FFA40B9"/>
    <w:rsid w:val="5FFB6C95"/>
    <w:rsid w:val="60043141"/>
    <w:rsid w:val="600D6DD9"/>
    <w:rsid w:val="60103935"/>
    <w:rsid w:val="60111A39"/>
    <w:rsid w:val="604B5FE1"/>
    <w:rsid w:val="604D345B"/>
    <w:rsid w:val="605C6577"/>
    <w:rsid w:val="605D1356"/>
    <w:rsid w:val="60685A85"/>
    <w:rsid w:val="60852BA5"/>
    <w:rsid w:val="6089311F"/>
    <w:rsid w:val="6094532E"/>
    <w:rsid w:val="60982AFA"/>
    <w:rsid w:val="609D1752"/>
    <w:rsid w:val="609F4921"/>
    <w:rsid w:val="60A7597A"/>
    <w:rsid w:val="60B67699"/>
    <w:rsid w:val="60BB7725"/>
    <w:rsid w:val="60C9291C"/>
    <w:rsid w:val="60C96AB5"/>
    <w:rsid w:val="60CD1816"/>
    <w:rsid w:val="60E767E3"/>
    <w:rsid w:val="60F122D5"/>
    <w:rsid w:val="6101389A"/>
    <w:rsid w:val="610C68D8"/>
    <w:rsid w:val="612C37AF"/>
    <w:rsid w:val="612F0EA2"/>
    <w:rsid w:val="613530A7"/>
    <w:rsid w:val="613D68EF"/>
    <w:rsid w:val="6143768E"/>
    <w:rsid w:val="6147688A"/>
    <w:rsid w:val="614F3E37"/>
    <w:rsid w:val="615706BE"/>
    <w:rsid w:val="615C3933"/>
    <w:rsid w:val="615D7134"/>
    <w:rsid w:val="61666E99"/>
    <w:rsid w:val="61721A98"/>
    <w:rsid w:val="61730B8F"/>
    <w:rsid w:val="619224F5"/>
    <w:rsid w:val="619A763E"/>
    <w:rsid w:val="619E1C26"/>
    <w:rsid w:val="61A65343"/>
    <w:rsid w:val="61A85612"/>
    <w:rsid w:val="61BC02FE"/>
    <w:rsid w:val="61BE5E24"/>
    <w:rsid w:val="61C04634"/>
    <w:rsid w:val="61DC62AA"/>
    <w:rsid w:val="61DF1A53"/>
    <w:rsid w:val="61E36805"/>
    <w:rsid w:val="61ED7359"/>
    <w:rsid w:val="61FF5D07"/>
    <w:rsid w:val="6202119F"/>
    <w:rsid w:val="6209781A"/>
    <w:rsid w:val="620B61FF"/>
    <w:rsid w:val="620D6DAC"/>
    <w:rsid w:val="621434E6"/>
    <w:rsid w:val="62150A98"/>
    <w:rsid w:val="62184820"/>
    <w:rsid w:val="621C430B"/>
    <w:rsid w:val="622E7BE1"/>
    <w:rsid w:val="62326812"/>
    <w:rsid w:val="62341020"/>
    <w:rsid w:val="62362AE7"/>
    <w:rsid w:val="62387DC6"/>
    <w:rsid w:val="62456D4E"/>
    <w:rsid w:val="62500333"/>
    <w:rsid w:val="625955E7"/>
    <w:rsid w:val="62595FB0"/>
    <w:rsid w:val="625B50B9"/>
    <w:rsid w:val="626D2301"/>
    <w:rsid w:val="62734727"/>
    <w:rsid w:val="627544E4"/>
    <w:rsid w:val="627636B6"/>
    <w:rsid w:val="627A016A"/>
    <w:rsid w:val="627C3B0E"/>
    <w:rsid w:val="627E6681"/>
    <w:rsid w:val="6288173E"/>
    <w:rsid w:val="62C93917"/>
    <w:rsid w:val="62CF0F64"/>
    <w:rsid w:val="62D92947"/>
    <w:rsid w:val="62DB2FDA"/>
    <w:rsid w:val="62F0280B"/>
    <w:rsid w:val="62F53AC8"/>
    <w:rsid w:val="63064CFD"/>
    <w:rsid w:val="630B22E5"/>
    <w:rsid w:val="63121951"/>
    <w:rsid w:val="631E37D5"/>
    <w:rsid w:val="632F68AE"/>
    <w:rsid w:val="63300E87"/>
    <w:rsid w:val="63346BCA"/>
    <w:rsid w:val="633C4BB3"/>
    <w:rsid w:val="633E0326"/>
    <w:rsid w:val="633E321C"/>
    <w:rsid w:val="634301AE"/>
    <w:rsid w:val="634928EF"/>
    <w:rsid w:val="634A665E"/>
    <w:rsid w:val="635418F9"/>
    <w:rsid w:val="6373125E"/>
    <w:rsid w:val="6378525F"/>
    <w:rsid w:val="637E3BF3"/>
    <w:rsid w:val="637F15E3"/>
    <w:rsid w:val="63857FE1"/>
    <w:rsid w:val="63870498"/>
    <w:rsid w:val="63882993"/>
    <w:rsid w:val="639F7832"/>
    <w:rsid w:val="63A16864"/>
    <w:rsid w:val="63AA573A"/>
    <w:rsid w:val="63AC3E87"/>
    <w:rsid w:val="63AD225A"/>
    <w:rsid w:val="63B82D27"/>
    <w:rsid w:val="63BC1E26"/>
    <w:rsid w:val="63BE4AE7"/>
    <w:rsid w:val="63C15ECF"/>
    <w:rsid w:val="63C300AD"/>
    <w:rsid w:val="63C74DA8"/>
    <w:rsid w:val="63CA3E8D"/>
    <w:rsid w:val="63CE6CE4"/>
    <w:rsid w:val="63E13995"/>
    <w:rsid w:val="63E169DA"/>
    <w:rsid w:val="63E36016"/>
    <w:rsid w:val="63EE01C3"/>
    <w:rsid w:val="63FB1ADB"/>
    <w:rsid w:val="63FB57AA"/>
    <w:rsid w:val="640F0BB9"/>
    <w:rsid w:val="64122457"/>
    <w:rsid w:val="641948F4"/>
    <w:rsid w:val="6423784D"/>
    <w:rsid w:val="642D23F9"/>
    <w:rsid w:val="643B7C00"/>
    <w:rsid w:val="644F4034"/>
    <w:rsid w:val="645C7702"/>
    <w:rsid w:val="6462239B"/>
    <w:rsid w:val="64663159"/>
    <w:rsid w:val="64694DB3"/>
    <w:rsid w:val="646B2646"/>
    <w:rsid w:val="6477327D"/>
    <w:rsid w:val="647A24D5"/>
    <w:rsid w:val="647F3F4D"/>
    <w:rsid w:val="64846290"/>
    <w:rsid w:val="64865CED"/>
    <w:rsid w:val="64870AE5"/>
    <w:rsid w:val="6488488C"/>
    <w:rsid w:val="649D7058"/>
    <w:rsid w:val="64A03E97"/>
    <w:rsid w:val="64A77044"/>
    <w:rsid w:val="64AD1906"/>
    <w:rsid w:val="64B42BB1"/>
    <w:rsid w:val="64B6280A"/>
    <w:rsid w:val="64C23957"/>
    <w:rsid w:val="64D079B6"/>
    <w:rsid w:val="64DA7905"/>
    <w:rsid w:val="64DB0A9B"/>
    <w:rsid w:val="64EA6F30"/>
    <w:rsid w:val="64F2673C"/>
    <w:rsid w:val="64FE0607"/>
    <w:rsid w:val="65142B74"/>
    <w:rsid w:val="651C65CE"/>
    <w:rsid w:val="652147D5"/>
    <w:rsid w:val="65246D89"/>
    <w:rsid w:val="65266250"/>
    <w:rsid w:val="65311EE1"/>
    <w:rsid w:val="6532453E"/>
    <w:rsid w:val="65475418"/>
    <w:rsid w:val="654C32D4"/>
    <w:rsid w:val="65516133"/>
    <w:rsid w:val="657063B8"/>
    <w:rsid w:val="657E41EC"/>
    <w:rsid w:val="657E5DF0"/>
    <w:rsid w:val="658D594F"/>
    <w:rsid w:val="65947106"/>
    <w:rsid w:val="65A93606"/>
    <w:rsid w:val="65B01F28"/>
    <w:rsid w:val="65B50F5F"/>
    <w:rsid w:val="65BA775C"/>
    <w:rsid w:val="65BE0F7A"/>
    <w:rsid w:val="65C93381"/>
    <w:rsid w:val="65E0750B"/>
    <w:rsid w:val="65E6623B"/>
    <w:rsid w:val="65E94B5B"/>
    <w:rsid w:val="65EB5480"/>
    <w:rsid w:val="65F97B98"/>
    <w:rsid w:val="6605109A"/>
    <w:rsid w:val="660712A5"/>
    <w:rsid w:val="66083B12"/>
    <w:rsid w:val="66085320"/>
    <w:rsid w:val="661641E6"/>
    <w:rsid w:val="66195F83"/>
    <w:rsid w:val="661A17DC"/>
    <w:rsid w:val="661E0CD3"/>
    <w:rsid w:val="661E4A3D"/>
    <w:rsid w:val="66246472"/>
    <w:rsid w:val="662B34D7"/>
    <w:rsid w:val="66340E50"/>
    <w:rsid w:val="66360291"/>
    <w:rsid w:val="66375571"/>
    <w:rsid w:val="66376194"/>
    <w:rsid w:val="663B747C"/>
    <w:rsid w:val="663C25F0"/>
    <w:rsid w:val="663F32AC"/>
    <w:rsid w:val="6640074F"/>
    <w:rsid w:val="66434E23"/>
    <w:rsid w:val="66444EA1"/>
    <w:rsid w:val="664B2F11"/>
    <w:rsid w:val="66502311"/>
    <w:rsid w:val="66515842"/>
    <w:rsid w:val="66560161"/>
    <w:rsid w:val="665A72C3"/>
    <w:rsid w:val="665F74AA"/>
    <w:rsid w:val="666614B5"/>
    <w:rsid w:val="666B5718"/>
    <w:rsid w:val="667256F8"/>
    <w:rsid w:val="66877A2A"/>
    <w:rsid w:val="668B12B4"/>
    <w:rsid w:val="668F6F5A"/>
    <w:rsid w:val="66A61027"/>
    <w:rsid w:val="66A82ABF"/>
    <w:rsid w:val="66AE605A"/>
    <w:rsid w:val="66AE7EFD"/>
    <w:rsid w:val="66C21F5E"/>
    <w:rsid w:val="66D045C0"/>
    <w:rsid w:val="66DA44E4"/>
    <w:rsid w:val="66E24916"/>
    <w:rsid w:val="66E84CE6"/>
    <w:rsid w:val="66F01058"/>
    <w:rsid w:val="67173EE2"/>
    <w:rsid w:val="67196B7B"/>
    <w:rsid w:val="672138F6"/>
    <w:rsid w:val="67327388"/>
    <w:rsid w:val="67366060"/>
    <w:rsid w:val="673A1F89"/>
    <w:rsid w:val="67432A32"/>
    <w:rsid w:val="67483668"/>
    <w:rsid w:val="674A015A"/>
    <w:rsid w:val="676104D8"/>
    <w:rsid w:val="67662FC5"/>
    <w:rsid w:val="676E4D69"/>
    <w:rsid w:val="676F6713"/>
    <w:rsid w:val="67863767"/>
    <w:rsid w:val="67876A1E"/>
    <w:rsid w:val="678E7C83"/>
    <w:rsid w:val="678F28BE"/>
    <w:rsid w:val="67A23344"/>
    <w:rsid w:val="67A45E90"/>
    <w:rsid w:val="67A55390"/>
    <w:rsid w:val="67BA52E0"/>
    <w:rsid w:val="67CC3E7D"/>
    <w:rsid w:val="67CF0F03"/>
    <w:rsid w:val="67EB758D"/>
    <w:rsid w:val="67ED14E8"/>
    <w:rsid w:val="67ED1F99"/>
    <w:rsid w:val="67F13E38"/>
    <w:rsid w:val="67F91A98"/>
    <w:rsid w:val="67FB083A"/>
    <w:rsid w:val="680111B6"/>
    <w:rsid w:val="680310B5"/>
    <w:rsid w:val="6809591F"/>
    <w:rsid w:val="680D06BC"/>
    <w:rsid w:val="68147C89"/>
    <w:rsid w:val="681A093C"/>
    <w:rsid w:val="681D7788"/>
    <w:rsid w:val="68210DCA"/>
    <w:rsid w:val="68221369"/>
    <w:rsid w:val="68263FC7"/>
    <w:rsid w:val="683926A8"/>
    <w:rsid w:val="68432362"/>
    <w:rsid w:val="68444BA9"/>
    <w:rsid w:val="684669AA"/>
    <w:rsid w:val="68487CA8"/>
    <w:rsid w:val="684E0A63"/>
    <w:rsid w:val="6853303E"/>
    <w:rsid w:val="6858520D"/>
    <w:rsid w:val="685B6AC4"/>
    <w:rsid w:val="687F3B84"/>
    <w:rsid w:val="68824118"/>
    <w:rsid w:val="68844C3E"/>
    <w:rsid w:val="6896646B"/>
    <w:rsid w:val="689A6FF3"/>
    <w:rsid w:val="689E3365"/>
    <w:rsid w:val="68A0350F"/>
    <w:rsid w:val="68A037DC"/>
    <w:rsid w:val="68A101CD"/>
    <w:rsid w:val="68A62F79"/>
    <w:rsid w:val="68C154C8"/>
    <w:rsid w:val="68C340CE"/>
    <w:rsid w:val="68C70ED3"/>
    <w:rsid w:val="68C74541"/>
    <w:rsid w:val="68CD53BE"/>
    <w:rsid w:val="68CF2B93"/>
    <w:rsid w:val="68D45F2D"/>
    <w:rsid w:val="68D95EC5"/>
    <w:rsid w:val="68F3255B"/>
    <w:rsid w:val="68F90F97"/>
    <w:rsid w:val="68FA2E41"/>
    <w:rsid w:val="68FC6A2D"/>
    <w:rsid w:val="6911010A"/>
    <w:rsid w:val="69120073"/>
    <w:rsid w:val="69137886"/>
    <w:rsid w:val="6915145B"/>
    <w:rsid w:val="692718E2"/>
    <w:rsid w:val="69297938"/>
    <w:rsid w:val="69344F9D"/>
    <w:rsid w:val="693671BA"/>
    <w:rsid w:val="693B2401"/>
    <w:rsid w:val="693F584E"/>
    <w:rsid w:val="69635503"/>
    <w:rsid w:val="69705397"/>
    <w:rsid w:val="69790883"/>
    <w:rsid w:val="69792940"/>
    <w:rsid w:val="697A768A"/>
    <w:rsid w:val="697D5179"/>
    <w:rsid w:val="6987749C"/>
    <w:rsid w:val="698A4ADD"/>
    <w:rsid w:val="698C328A"/>
    <w:rsid w:val="698E3540"/>
    <w:rsid w:val="699A3EEC"/>
    <w:rsid w:val="69B8620F"/>
    <w:rsid w:val="69C523DE"/>
    <w:rsid w:val="69C97A5C"/>
    <w:rsid w:val="69CE6BF0"/>
    <w:rsid w:val="69DC49ED"/>
    <w:rsid w:val="69E55A0E"/>
    <w:rsid w:val="69F83E9D"/>
    <w:rsid w:val="69FB592F"/>
    <w:rsid w:val="6A0E546F"/>
    <w:rsid w:val="6A0F3200"/>
    <w:rsid w:val="6A163027"/>
    <w:rsid w:val="6A197C42"/>
    <w:rsid w:val="6A201800"/>
    <w:rsid w:val="6A242BE4"/>
    <w:rsid w:val="6A242EE4"/>
    <w:rsid w:val="6A264077"/>
    <w:rsid w:val="6A2B0834"/>
    <w:rsid w:val="6A2D0B6A"/>
    <w:rsid w:val="6A2E5A46"/>
    <w:rsid w:val="6A31538E"/>
    <w:rsid w:val="6A3873BB"/>
    <w:rsid w:val="6A4B2077"/>
    <w:rsid w:val="6A4B6CAA"/>
    <w:rsid w:val="6A4E3171"/>
    <w:rsid w:val="6A5B742B"/>
    <w:rsid w:val="6A5C61DA"/>
    <w:rsid w:val="6A66044E"/>
    <w:rsid w:val="6A6908F7"/>
    <w:rsid w:val="6A696A86"/>
    <w:rsid w:val="6A6D488B"/>
    <w:rsid w:val="6A6F63A5"/>
    <w:rsid w:val="6A745C1A"/>
    <w:rsid w:val="6A830C73"/>
    <w:rsid w:val="6A8A4A67"/>
    <w:rsid w:val="6A9111FC"/>
    <w:rsid w:val="6AA04B14"/>
    <w:rsid w:val="6AA14535"/>
    <w:rsid w:val="6AAE73A8"/>
    <w:rsid w:val="6AB42950"/>
    <w:rsid w:val="6AC62BC6"/>
    <w:rsid w:val="6AC964B7"/>
    <w:rsid w:val="6ACA2CC1"/>
    <w:rsid w:val="6AD06BC8"/>
    <w:rsid w:val="6AD43EDA"/>
    <w:rsid w:val="6AD7499E"/>
    <w:rsid w:val="6AD761A9"/>
    <w:rsid w:val="6ADC59BA"/>
    <w:rsid w:val="6ADC731B"/>
    <w:rsid w:val="6AF36F1F"/>
    <w:rsid w:val="6AF7052B"/>
    <w:rsid w:val="6AF9611F"/>
    <w:rsid w:val="6AFB12B6"/>
    <w:rsid w:val="6AFE7291"/>
    <w:rsid w:val="6B0D7854"/>
    <w:rsid w:val="6B1B5003"/>
    <w:rsid w:val="6B39757A"/>
    <w:rsid w:val="6B4119FA"/>
    <w:rsid w:val="6B4C5145"/>
    <w:rsid w:val="6B582144"/>
    <w:rsid w:val="6B6116D5"/>
    <w:rsid w:val="6B61387C"/>
    <w:rsid w:val="6B6C0DA2"/>
    <w:rsid w:val="6B6C458E"/>
    <w:rsid w:val="6B6F5A2A"/>
    <w:rsid w:val="6B76584F"/>
    <w:rsid w:val="6B795364"/>
    <w:rsid w:val="6B7A6F78"/>
    <w:rsid w:val="6B8F438D"/>
    <w:rsid w:val="6B941A50"/>
    <w:rsid w:val="6B9E4049"/>
    <w:rsid w:val="6BCE3D19"/>
    <w:rsid w:val="6BD01495"/>
    <w:rsid w:val="6BD1202A"/>
    <w:rsid w:val="6BD57704"/>
    <w:rsid w:val="6BE17EA1"/>
    <w:rsid w:val="6BE57D91"/>
    <w:rsid w:val="6BEE5E6D"/>
    <w:rsid w:val="6BF00664"/>
    <w:rsid w:val="6BF95CAB"/>
    <w:rsid w:val="6BFD5506"/>
    <w:rsid w:val="6BFF6B35"/>
    <w:rsid w:val="6C010462"/>
    <w:rsid w:val="6C0143E3"/>
    <w:rsid w:val="6C1D1FD6"/>
    <w:rsid w:val="6C28347F"/>
    <w:rsid w:val="6C2948E8"/>
    <w:rsid w:val="6C3171FA"/>
    <w:rsid w:val="6C421991"/>
    <w:rsid w:val="6C4926FA"/>
    <w:rsid w:val="6C4B41B4"/>
    <w:rsid w:val="6C5646A1"/>
    <w:rsid w:val="6C613EB4"/>
    <w:rsid w:val="6C65042A"/>
    <w:rsid w:val="6C692E30"/>
    <w:rsid w:val="6C6A1634"/>
    <w:rsid w:val="6C70213C"/>
    <w:rsid w:val="6C8313D9"/>
    <w:rsid w:val="6C832E61"/>
    <w:rsid w:val="6C8430D7"/>
    <w:rsid w:val="6C843278"/>
    <w:rsid w:val="6C8A6C86"/>
    <w:rsid w:val="6C8E2897"/>
    <w:rsid w:val="6C9358DE"/>
    <w:rsid w:val="6C9A1D60"/>
    <w:rsid w:val="6CA8257C"/>
    <w:rsid w:val="6CAB246C"/>
    <w:rsid w:val="6CAF41E3"/>
    <w:rsid w:val="6CC241DE"/>
    <w:rsid w:val="6CC3383C"/>
    <w:rsid w:val="6CC616EC"/>
    <w:rsid w:val="6CC664D5"/>
    <w:rsid w:val="6CCF6E9F"/>
    <w:rsid w:val="6CD127A4"/>
    <w:rsid w:val="6CD97FB6"/>
    <w:rsid w:val="6CE42413"/>
    <w:rsid w:val="6CEB0406"/>
    <w:rsid w:val="6CEF77DA"/>
    <w:rsid w:val="6D003A25"/>
    <w:rsid w:val="6D0E17D2"/>
    <w:rsid w:val="6D210150"/>
    <w:rsid w:val="6D2116B6"/>
    <w:rsid w:val="6D25144D"/>
    <w:rsid w:val="6D2808A2"/>
    <w:rsid w:val="6D3A5127"/>
    <w:rsid w:val="6D3A6809"/>
    <w:rsid w:val="6D3F2340"/>
    <w:rsid w:val="6D416038"/>
    <w:rsid w:val="6D445E88"/>
    <w:rsid w:val="6D4463B2"/>
    <w:rsid w:val="6D521B82"/>
    <w:rsid w:val="6D57668E"/>
    <w:rsid w:val="6D5B6236"/>
    <w:rsid w:val="6D5C2287"/>
    <w:rsid w:val="6D5D3C6F"/>
    <w:rsid w:val="6D5D3E8B"/>
    <w:rsid w:val="6D611D62"/>
    <w:rsid w:val="6D7E7149"/>
    <w:rsid w:val="6D84422D"/>
    <w:rsid w:val="6D865A9C"/>
    <w:rsid w:val="6D89449F"/>
    <w:rsid w:val="6DA05D02"/>
    <w:rsid w:val="6DA6202D"/>
    <w:rsid w:val="6DC87888"/>
    <w:rsid w:val="6DDF30E4"/>
    <w:rsid w:val="6DE41257"/>
    <w:rsid w:val="6DE77C06"/>
    <w:rsid w:val="6DEA608E"/>
    <w:rsid w:val="6DED62F5"/>
    <w:rsid w:val="6DF52DCD"/>
    <w:rsid w:val="6DF61D31"/>
    <w:rsid w:val="6DF667F8"/>
    <w:rsid w:val="6DF75B10"/>
    <w:rsid w:val="6DFC2479"/>
    <w:rsid w:val="6DFC5C8F"/>
    <w:rsid w:val="6DFD7CD4"/>
    <w:rsid w:val="6E0B2F60"/>
    <w:rsid w:val="6E0E59CE"/>
    <w:rsid w:val="6E0F17B6"/>
    <w:rsid w:val="6E102312"/>
    <w:rsid w:val="6E217291"/>
    <w:rsid w:val="6E231CBC"/>
    <w:rsid w:val="6E2C6D38"/>
    <w:rsid w:val="6E4C29CD"/>
    <w:rsid w:val="6E5853E1"/>
    <w:rsid w:val="6E6F1012"/>
    <w:rsid w:val="6E771193"/>
    <w:rsid w:val="6E7D0905"/>
    <w:rsid w:val="6E8C4766"/>
    <w:rsid w:val="6E8E419C"/>
    <w:rsid w:val="6E910B04"/>
    <w:rsid w:val="6E924232"/>
    <w:rsid w:val="6E9B1115"/>
    <w:rsid w:val="6EA232C0"/>
    <w:rsid w:val="6EA77C40"/>
    <w:rsid w:val="6EB02855"/>
    <w:rsid w:val="6EB0778A"/>
    <w:rsid w:val="6EC23653"/>
    <w:rsid w:val="6EC2437C"/>
    <w:rsid w:val="6EEF03FD"/>
    <w:rsid w:val="6EEF31C0"/>
    <w:rsid w:val="6EFB35BA"/>
    <w:rsid w:val="6F06453D"/>
    <w:rsid w:val="6F07745C"/>
    <w:rsid w:val="6F0A6112"/>
    <w:rsid w:val="6F0B069A"/>
    <w:rsid w:val="6F0D25F4"/>
    <w:rsid w:val="6F1632B9"/>
    <w:rsid w:val="6F171DD3"/>
    <w:rsid w:val="6F2969C5"/>
    <w:rsid w:val="6F32519D"/>
    <w:rsid w:val="6F461F6C"/>
    <w:rsid w:val="6F484C38"/>
    <w:rsid w:val="6F4950E6"/>
    <w:rsid w:val="6F4A095B"/>
    <w:rsid w:val="6F4F0DBE"/>
    <w:rsid w:val="6F5E7F96"/>
    <w:rsid w:val="6F7134D2"/>
    <w:rsid w:val="6F786D99"/>
    <w:rsid w:val="6F7B6614"/>
    <w:rsid w:val="6F816D30"/>
    <w:rsid w:val="6F8321C2"/>
    <w:rsid w:val="6F834209"/>
    <w:rsid w:val="6F8B0997"/>
    <w:rsid w:val="6F8D4FC5"/>
    <w:rsid w:val="6F912DCA"/>
    <w:rsid w:val="6F917A0E"/>
    <w:rsid w:val="6F980C2B"/>
    <w:rsid w:val="6F9D25F6"/>
    <w:rsid w:val="6FA704DE"/>
    <w:rsid w:val="6FA85A06"/>
    <w:rsid w:val="6FB151A9"/>
    <w:rsid w:val="6FB60EDF"/>
    <w:rsid w:val="6FB65EF2"/>
    <w:rsid w:val="6FBC771B"/>
    <w:rsid w:val="6FBD221B"/>
    <w:rsid w:val="6FBD5524"/>
    <w:rsid w:val="6FBE5B7E"/>
    <w:rsid w:val="6FC54822"/>
    <w:rsid w:val="6FC9107E"/>
    <w:rsid w:val="6FCA6587"/>
    <w:rsid w:val="6FCF56A0"/>
    <w:rsid w:val="6FD13163"/>
    <w:rsid w:val="6FD74623"/>
    <w:rsid w:val="6FDD465F"/>
    <w:rsid w:val="6FE211C1"/>
    <w:rsid w:val="6FE85DD3"/>
    <w:rsid w:val="6FEA21D1"/>
    <w:rsid w:val="6FED3D79"/>
    <w:rsid w:val="6FEE2598"/>
    <w:rsid w:val="6FF149B1"/>
    <w:rsid w:val="6FF17955"/>
    <w:rsid w:val="6FF56A38"/>
    <w:rsid w:val="6FF879D3"/>
    <w:rsid w:val="700A61C9"/>
    <w:rsid w:val="700F0193"/>
    <w:rsid w:val="70277124"/>
    <w:rsid w:val="702A6907"/>
    <w:rsid w:val="703025E3"/>
    <w:rsid w:val="7031027A"/>
    <w:rsid w:val="703674CE"/>
    <w:rsid w:val="70383E20"/>
    <w:rsid w:val="703B5596"/>
    <w:rsid w:val="705562E8"/>
    <w:rsid w:val="70585696"/>
    <w:rsid w:val="70604C64"/>
    <w:rsid w:val="70620D45"/>
    <w:rsid w:val="706D5397"/>
    <w:rsid w:val="706E7990"/>
    <w:rsid w:val="706F3D88"/>
    <w:rsid w:val="7076611F"/>
    <w:rsid w:val="707F5F3B"/>
    <w:rsid w:val="70844F68"/>
    <w:rsid w:val="708869DE"/>
    <w:rsid w:val="708C3591"/>
    <w:rsid w:val="70962A83"/>
    <w:rsid w:val="709C30EB"/>
    <w:rsid w:val="70A1528F"/>
    <w:rsid w:val="70A95EF1"/>
    <w:rsid w:val="70AC208E"/>
    <w:rsid w:val="70B02A22"/>
    <w:rsid w:val="70B23A0C"/>
    <w:rsid w:val="70B7284F"/>
    <w:rsid w:val="70B75490"/>
    <w:rsid w:val="70C329E4"/>
    <w:rsid w:val="70C77ACB"/>
    <w:rsid w:val="70D86550"/>
    <w:rsid w:val="70E53600"/>
    <w:rsid w:val="70E717C8"/>
    <w:rsid w:val="70F03B20"/>
    <w:rsid w:val="70F51137"/>
    <w:rsid w:val="70F66B68"/>
    <w:rsid w:val="71051361"/>
    <w:rsid w:val="710539EC"/>
    <w:rsid w:val="710B44B6"/>
    <w:rsid w:val="71165F0C"/>
    <w:rsid w:val="711D6B8C"/>
    <w:rsid w:val="712365DA"/>
    <w:rsid w:val="712D55F0"/>
    <w:rsid w:val="71306D0E"/>
    <w:rsid w:val="7141011C"/>
    <w:rsid w:val="714C2A8F"/>
    <w:rsid w:val="71520337"/>
    <w:rsid w:val="715A7C91"/>
    <w:rsid w:val="715D1E53"/>
    <w:rsid w:val="715E0D9E"/>
    <w:rsid w:val="7164078E"/>
    <w:rsid w:val="71663DE2"/>
    <w:rsid w:val="718108B0"/>
    <w:rsid w:val="718973DA"/>
    <w:rsid w:val="719D0BC5"/>
    <w:rsid w:val="71A14E1B"/>
    <w:rsid w:val="71A16BFB"/>
    <w:rsid w:val="71A45665"/>
    <w:rsid w:val="71A562FD"/>
    <w:rsid w:val="71AB6D53"/>
    <w:rsid w:val="71AF7537"/>
    <w:rsid w:val="71B9032D"/>
    <w:rsid w:val="71C16FE5"/>
    <w:rsid w:val="71CD3F02"/>
    <w:rsid w:val="71DC5E53"/>
    <w:rsid w:val="71DC7ECB"/>
    <w:rsid w:val="71E6743B"/>
    <w:rsid w:val="71F4388D"/>
    <w:rsid w:val="71F70889"/>
    <w:rsid w:val="72001B41"/>
    <w:rsid w:val="72095E0F"/>
    <w:rsid w:val="720C48B5"/>
    <w:rsid w:val="720C498A"/>
    <w:rsid w:val="72233A82"/>
    <w:rsid w:val="7231677C"/>
    <w:rsid w:val="72375643"/>
    <w:rsid w:val="724E6D50"/>
    <w:rsid w:val="72540E16"/>
    <w:rsid w:val="725B79F5"/>
    <w:rsid w:val="7263083A"/>
    <w:rsid w:val="72682BAD"/>
    <w:rsid w:val="7269557D"/>
    <w:rsid w:val="72717191"/>
    <w:rsid w:val="727B2D1B"/>
    <w:rsid w:val="727F51CA"/>
    <w:rsid w:val="72803B88"/>
    <w:rsid w:val="728E017C"/>
    <w:rsid w:val="728E5605"/>
    <w:rsid w:val="729110D2"/>
    <w:rsid w:val="72936E59"/>
    <w:rsid w:val="729A0448"/>
    <w:rsid w:val="729A0BB7"/>
    <w:rsid w:val="72A11576"/>
    <w:rsid w:val="72AB5E8B"/>
    <w:rsid w:val="72C62D8B"/>
    <w:rsid w:val="72D07F1B"/>
    <w:rsid w:val="72FC27CC"/>
    <w:rsid w:val="73032641"/>
    <w:rsid w:val="730C2E76"/>
    <w:rsid w:val="7315786E"/>
    <w:rsid w:val="73165394"/>
    <w:rsid w:val="73261A7B"/>
    <w:rsid w:val="73294201"/>
    <w:rsid w:val="73317269"/>
    <w:rsid w:val="733E1A1D"/>
    <w:rsid w:val="73406846"/>
    <w:rsid w:val="734463A5"/>
    <w:rsid w:val="735C36EF"/>
    <w:rsid w:val="735F4F8D"/>
    <w:rsid w:val="7360627E"/>
    <w:rsid w:val="736A1D03"/>
    <w:rsid w:val="736B0318"/>
    <w:rsid w:val="737E1B64"/>
    <w:rsid w:val="73843616"/>
    <w:rsid w:val="738556A7"/>
    <w:rsid w:val="738E53DD"/>
    <w:rsid w:val="73974727"/>
    <w:rsid w:val="73A019A1"/>
    <w:rsid w:val="73A16F74"/>
    <w:rsid w:val="73A26CED"/>
    <w:rsid w:val="73AE55A3"/>
    <w:rsid w:val="73B33606"/>
    <w:rsid w:val="73C800F3"/>
    <w:rsid w:val="73CB4520"/>
    <w:rsid w:val="73D01503"/>
    <w:rsid w:val="73D93410"/>
    <w:rsid w:val="73D94061"/>
    <w:rsid w:val="73DB2274"/>
    <w:rsid w:val="73E07C36"/>
    <w:rsid w:val="73F145A7"/>
    <w:rsid w:val="73FB696D"/>
    <w:rsid w:val="73FC5FDD"/>
    <w:rsid w:val="74111D13"/>
    <w:rsid w:val="74121F3B"/>
    <w:rsid w:val="742064CB"/>
    <w:rsid w:val="74235FBB"/>
    <w:rsid w:val="74253B04"/>
    <w:rsid w:val="742A286A"/>
    <w:rsid w:val="742E7A58"/>
    <w:rsid w:val="7432542B"/>
    <w:rsid w:val="74362C7F"/>
    <w:rsid w:val="7437609A"/>
    <w:rsid w:val="74417520"/>
    <w:rsid w:val="74443D45"/>
    <w:rsid w:val="745A2A33"/>
    <w:rsid w:val="745B201D"/>
    <w:rsid w:val="745D1381"/>
    <w:rsid w:val="74630793"/>
    <w:rsid w:val="746B0C01"/>
    <w:rsid w:val="74A93322"/>
    <w:rsid w:val="74B52FD3"/>
    <w:rsid w:val="74C0380A"/>
    <w:rsid w:val="74CB190D"/>
    <w:rsid w:val="74D53F2D"/>
    <w:rsid w:val="74DE0B54"/>
    <w:rsid w:val="74DE100F"/>
    <w:rsid w:val="74DE6CD1"/>
    <w:rsid w:val="74EB53AB"/>
    <w:rsid w:val="74F15BC9"/>
    <w:rsid w:val="75005E05"/>
    <w:rsid w:val="751E00DE"/>
    <w:rsid w:val="75272EFE"/>
    <w:rsid w:val="752C2758"/>
    <w:rsid w:val="75363ACC"/>
    <w:rsid w:val="75412B9C"/>
    <w:rsid w:val="7542526C"/>
    <w:rsid w:val="754E1CB6"/>
    <w:rsid w:val="754F47D1"/>
    <w:rsid w:val="75510906"/>
    <w:rsid w:val="75524821"/>
    <w:rsid w:val="75531329"/>
    <w:rsid w:val="755B32F3"/>
    <w:rsid w:val="756349CB"/>
    <w:rsid w:val="7564688B"/>
    <w:rsid w:val="757E5B9F"/>
    <w:rsid w:val="75886CE2"/>
    <w:rsid w:val="75940B1E"/>
    <w:rsid w:val="75A57B6C"/>
    <w:rsid w:val="75C0733F"/>
    <w:rsid w:val="75CD2682"/>
    <w:rsid w:val="75D166E3"/>
    <w:rsid w:val="75D903B0"/>
    <w:rsid w:val="75DB21B4"/>
    <w:rsid w:val="75DD5078"/>
    <w:rsid w:val="75E350C0"/>
    <w:rsid w:val="75E53763"/>
    <w:rsid w:val="75EA5FC3"/>
    <w:rsid w:val="760342F6"/>
    <w:rsid w:val="76064C6E"/>
    <w:rsid w:val="760B3CD1"/>
    <w:rsid w:val="760E5708"/>
    <w:rsid w:val="76131EE1"/>
    <w:rsid w:val="7615076A"/>
    <w:rsid w:val="76174253"/>
    <w:rsid w:val="762431E3"/>
    <w:rsid w:val="76265212"/>
    <w:rsid w:val="76320325"/>
    <w:rsid w:val="76330BC2"/>
    <w:rsid w:val="76381809"/>
    <w:rsid w:val="76515061"/>
    <w:rsid w:val="76544F28"/>
    <w:rsid w:val="765C7562"/>
    <w:rsid w:val="765D6EDA"/>
    <w:rsid w:val="766531B3"/>
    <w:rsid w:val="76691BB0"/>
    <w:rsid w:val="76761224"/>
    <w:rsid w:val="76814C52"/>
    <w:rsid w:val="768A5ABE"/>
    <w:rsid w:val="768C7E47"/>
    <w:rsid w:val="768D5502"/>
    <w:rsid w:val="769B11C8"/>
    <w:rsid w:val="76A95F8A"/>
    <w:rsid w:val="76BA46F2"/>
    <w:rsid w:val="76BC343F"/>
    <w:rsid w:val="76CC2F2B"/>
    <w:rsid w:val="76D0432D"/>
    <w:rsid w:val="76D1030B"/>
    <w:rsid w:val="76D10E66"/>
    <w:rsid w:val="76DC7781"/>
    <w:rsid w:val="76E01F41"/>
    <w:rsid w:val="76E55517"/>
    <w:rsid w:val="76E94ED6"/>
    <w:rsid w:val="77040EB4"/>
    <w:rsid w:val="77113385"/>
    <w:rsid w:val="771147F0"/>
    <w:rsid w:val="77143B27"/>
    <w:rsid w:val="771B4A49"/>
    <w:rsid w:val="771C34D1"/>
    <w:rsid w:val="77234C63"/>
    <w:rsid w:val="772A7E48"/>
    <w:rsid w:val="772E2C04"/>
    <w:rsid w:val="772F3485"/>
    <w:rsid w:val="773202DF"/>
    <w:rsid w:val="77322C07"/>
    <w:rsid w:val="773768B8"/>
    <w:rsid w:val="774C1F38"/>
    <w:rsid w:val="7755292F"/>
    <w:rsid w:val="77554E52"/>
    <w:rsid w:val="775C58AA"/>
    <w:rsid w:val="77713434"/>
    <w:rsid w:val="77730A97"/>
    <w:rsid w:val="77733A89"/>
    <w:rsid w:val="77776477"/>
    <w:rsid w:val="777C121B"/>
    <w:rsid w:val="77806C62"/>
    <w:rsid w:val="77821A32"/>
    <w:rsid w:val="778515B2"/>
    <w:rsid w:val="77897AE1"/>
    <w:rsid w:val="77937D72"/>
    <w:rsid w:val="779678F6"/>
    <w:rsid w:val="779A1B82"/>
    <w:rsid w:val="779A6625"/>
    <w:rsid w:val="779B7692"/>
    <w:rsid w:val="779BB9D8"/>
    <w:rsid w:val="77A47B7B"/>
    <w:rsid w:val="77A61221"/>
    <w:rsid w:val="77A94768"/>
    <w:rsid w:val="77AA4CAB"/>
    <w:rsid w:val="77BD6685"/>
    <w:rsid w:val="77C82EB2"/>
    <w:rsid w:val="77CA76E6"/>
    <w:rsid w:val="77D326BF"/>
    <w:rsid w:val="77D57A72"/>
    <w:rsid w:val="77D75A08"/>
    <w:rsid w:val="77E41E2A"/>
    <w:rsid w:val="77E7197F"/>
    <w:rsid w:val="77EC1993"/>
    <w:rsid w:val="77F96B07"/>
    <w:rsid w:val="77FA1693"/>
    <w:rsid w:val="77FE2E0E"/>
    <w:rsid w:val="7802176B"/>
    <w:rsid w:val="78063C29"/>
    <w:rsid w:val="780A196C"/>
    <w:rsid w:val="780D2963"/>
    <w:rsid w:val="782533F8"/>
    <w:rsid w:val="782D4186"/>
    <w:rsid w:val="783764D9"/>
    <w:rsid w:val="78400DB9"/>
    <w:rsid w:val="784D53ED"/>
    <w:rsid w:val="78604CB9"/>
    <w:rsid w:val="78663703"/>
    <w:rsid w:val="78692A71"/>
    <w:rsid w:val="786E23C1"/>
    <w:rsid w:val="78715547"/>
    <w:rsid w:val="788D6914"/>
    <w:rsid w:val="789174AD"/>
    <w:rsid w:val="7892370F"/>
    <w:rsid w:val="789264F5"/>
    <w:rsid w:val="78970ACC"/>
    <w:rsid w:val="789A4531"/>
    <w:rsid w:val="78A15162"/>
    <w:rsid w:val="78A75C1E"/>
    <w:rsid w:val="78BA0235"/>
    <w:rsid w:val="78BD4CB1"/>
    <w:rsid w:val="78BD657A"/>
    <w:rsid w:val="78D1454A"/>
    <w:rsid w:val="78D91DDC"/>
    <w:rsid w:val="78DE2049"/>
    <w:rsid w:val="78E52D49"/>
    <w:rsid w:val="78E55580"/>
    <w:rsid w:val="78E9300B"/>
    <w:rsid w:val="78ED4111"/>
    <w:rsid w:val="78EE092E"/>
    <w:rsid w:val="78EF3807"/>
    <w:rsid w:val="78FF6FF6"/>
    <w:rsid w:val="79013F0B"/>
    <w:rsid w:val="790A1A59"/>
    <w:rsid w:val="79132AA2"/>
    <w:rsid w:val="79197268"/>
    <w:rsid w:val="791C5FE4"/>
    <w:rsid w:val="792151BF"/>
    <w:rsid w:val="792B397B"/>
    <w:rsid w:val="792F0F5E"/>
    <w:rsid w:val="79342DB4"/>
    <w:rsid w:val="793C06B6"/>
    <w:rsid w:val="794560D2"/>
    <w:rsid w:val="794A77DB"/>
    <w:rsid w:val="795E74E0"/>
    <w:rsid w:val="79635800"/>
    <w:rsid w:val="796447BA"/>
    <w:rsid w:val="796918B3"/>
    <w:rsid w:val="796C2EBB"/>
    <w:rsid w:val="797605B4"/>
    <w:rsid w:val="79825DB3"/>
    <w:rsid w:val="798C2AD7"/>
    <w:rsid w:val="798E588D"/>
    <w:rsid w:val="7998645E"/>
    <w:rsid w:val="799B21A8"/>
    <w:rsid w:val="79AE6ED6"/>
    <w:rsid w:val="79B712F4"/>
    <w:rsid w:val="79B7342D"/>
    <w:rsid w:val="79B90EAB"/>
    <w:rsid w:val="79C61106"/>
    <w:rsid w:val="79D271BE"/>
    <w:rsid w:val="79D51B05"/>
    <w:rsid w:val="79D7762B"/>
    <w:rsid w:val="79DA5C69"/>
    <w:rsid w:val="79DB015D"/>
    <w:rsid w:val="79E120E8"/>
    <w:rsid w:val="79EA6EBA"/>
    <w:rsid w:val="7A086F12"/>
    <w:rsid w:val="7A164369"/>
    <w:rsid w:val="7A251E5E"/>
    <w:rsid w:val="7A287E87"/>
    <w:rsid w:val="7A292B02"/>
    <w:rsid w:val="7A556987"/>
    <w:rsid w:val="7A6251D5"/>
    <w:rsid w:val="7A8109A1"/>
    <w:rsid w:val="7A835A05"/>
    <w:rsid w:val="7A886742"/>
    <w:rsid w:val="7A8A46E7"/>
    <w:rsid w:val="7A920FD0"/>
    <w:rsid w:val="7A947B3A"/>
    <w:rsid w:val="7A965FEB"/>
    <w:rsid w:val="7A9B0456"/>
    <w:rsid w:val="7AA17C39"/>
    <w:rsid w:val="7AB121B9"/>
    <w:rsid w:val="7ABE627C"/>
    <w:rsid w:val="7AC349EB"/>
    <w:rsid w:val="7AC8290A"/>
    <w:rsid w:val="7ACC448C"/>
    <w:rsid w:val="7AD579F5"/>
    <w:rsid w:val="7AEE64F7"/>
    <w:rsid w:val="7AF035C6"/>
    <w:rsid w:val="7AF21B6F"/>
    <w:rsid w:val="7B05641A"/>
    <w:rsid w:val="7B0A3E26"/>
    <w:rsid w:val="7B0F7299"/>
    <w:rsid w:val="7B296E27"/>
    <w:rsid w:val="7B2F180D"/>
    <w:rsid w:val="7B3313C6"/>
    <w:rsid w:val="7B4841BE"/>
    <w:rsid w:val="7B4C1A2E"/>
    <w:rsid w:val="7B5B4C91"/>
    <w:rsid w:val="7B5C772A"/>
    <w:rsid w:val="7B6028D6"/>
    <w:rsid w:val="7B663AA0"/>
    <w:rsid w:val="7B6722E6"/>
    <w:rsid w:val="7B812429"/>
    <w:rsid w:val="7B835472"/>
    <w:rsid w:val="7B8515A2"/>
    <w:rsid w:val="7B883294"/>
    <w:rsid w:val="7B8F5E80"/>
    <w:rsid w:val="7B9730B6"/>
    <w:rsid w:val="7BA632D9"/>
    <w:rsid w:val="7BA774D1"/>
    <w:rsid w:val="7BAE3DF0"/>
    <w:rsid w:val="7BAF235B"/>
    <w:rsid w:val="7BB35E76"/>
    <w:rsid w:val="7BC03307"/>
    <w:rsid w:val="7BC57F66"/>
    <w:rsid w:val="7BCD53AB"/>
    <w:rsid w:val="7BCE4A5E"/>
    <w:rsid w:val="7BD15208"/>
    <w:rsid w:val="7BD713FC"/>
    <w:rsid w:val="7C0378B0"/>
    <w:rsid w:val="7C07399E"/>
    <w:rsid w:val="7C0B5425"/>
    <w:rsid w:val="7C0C5586"/>
    <w:rsid w:val="7C102FFA"/>
    <w:rsid w:val="7C23124E"/>
    <w:rsid w:val="7C330192"/>
    <w:rsid w:val="7C3A1750"/>
    <w:rsid w:val="7C435AE5"/>
    <w:rsid w:val="7C530D4C"/>
    <w:rsid w:val="7C61044B"/>
    <w:rsid w:val="7C63789C"/>
    <w:rsid w:val="7C743A5E"/>
    <w:rsid w:val="7C74713B"/>
    <w:rsid w:val="7C770DB1"/>
    <w:rsid w:val="7C785D71"/>
    <w:rsid w:val="7C82456D"/>
    <w:rsid w:val="7C82524D"/>
    <w:rsid w:val="7C872E8E"/>
    <w:rsid w:val="7C8954C3"/>
    <w:rsid w:val="7C91475B"/>
    <w:rsid w:val="7C9A2B3B"/>
    <w:rsid w:val="7CA26617"/>
    <w:rsid w:val="7CA347F3"/>
    <w:rsid w:val="7CA8482B"/>
    <w:rsid w:val="7CA96FE0"/>
    <w:rsid w:val="7CB00C40"/>
    <w:rsid w:val="7CB15751"/>
    <w:rsid w:val="7CB55375"/>
    <w:rsid w:val="7CC86760"/>
    <w:rsid w:val="7CCB1A9D"/>
    <w:rsid w:val="7CCC5887"/>
    <w:rsid w:val="7CD759A6"/>
    <w:rsid w:val="7CE878D5"/>
    <w:rsid w:val="7CEA2D76"/>
    <w:rsid w:val="7CF732B1"/>
    <w:rsid w:val="7CF80DB0"/>
    <w:rsid w:val="7CFD0814"/>
    <w:rsid w:val="7CFE75C5"/>
    <w:rsid w:val="7D002E0B"/>
    <w:rsid w:val="7D022ED1"/>
    <w:rsid w:val="7D0821F2"/>
    <w:rsid w:val="7D143162"/>
    <w:rsid w:val="7D24527D"/>
    <w:rsid w:val="7D2C41E9"/>
    <w:rsid w:val="7D370075"/>
    <w:rsid w:val="7D3948FD"/>
    <w:rsid w:val="7D463AA4"/>
    <w:rsid w:val="7D472D1A"/>
    <w:rsid w:val="7D5B7AB0"/>
    <w:rsid w:val="7D612E2E"/>
    <w:rsid w:val="7D640A50"/>
    <w:rsid w:val="7D67555F"/>
    <w:rsid w:val="7D6A5911"/>
    <w:rsid w:val="7D6C6117"/>
    <w:rsid w:val="7D77226C"/>
    <w:rsid w:val="7D790DF2"/>
    <w:rsid w:val="7D8530DB"/>
    <w:rsid w:val="7D8C639D"/>
    <w:rsid w:val="7D912EE5"/>
    <w:rsid w:val="7D920483"/>
    <w:rsid w:val="7D97588B"/>
    <w:rsid w:val="7D9F2B56"/>
    <w:rsid w:val="7DA54DF8"/>
    <w:rsid w:val="7DA87439"/>
    <w:rsid w:val="7DB605D2"/>
    <w:rsid w:val="7DBA2268"/>
    <w:rsid w:val="7DBB7264"/>
    <w:rsid w:val="7DBF0B02"/>
    <w:rsid w:val="7DC31C40"/>
    <w:rsid w:val="7DD23264"/>
    <w:rsid w:val="7DD30A52"/>
    <w:rsid w:val="7DD345AE"/>
    <w:rsid w:val="7DD426F2"/>
    <w:rsid w:val="7DD569C8"/>
    <w:rsid w:val="7DE30E02"/>
    <w:rsid w:val="7DEE3196"/>
    <w:rsid w:val="7DEF217E"/>
    <w:rsid w:val="7DF21813"/>
    <w:rsid w:val="7DF47C64"/>
    <w:rsid w:val="7E0B3D48"/>
    <w:rsid w:val="7E0D27F0"/>
    <w:rsid w:val="7E104C79"/>
    <w:rsid w:val="7E156974"/>
    <w:rsid w:val="7E160416"/>
    <w:rsid w:val="7E213B7C"/>
    <w:rsid w:val="7E2C1F84"/>
    <w:rsid w:val="7E470D98"/>
    <w:rsid w:val="7E505BFE"/>
    <w:rsid w:val="7E56344A"/>
    <w:rsid w:val="7E5C0261"/>
    <w:rsid w:val="7E5F1AD6"/>
    <w:rsid w:val="7E6452F9"/>
    <w:rsid w:val="7E6B0C8A"/>
    <w:rsid w:val="7E6D055E"/>
    <w:rsid w:val="7E756643"/>
    <w:rsid w:val="7E78670F"/>
    <w:rsid w:val="7E7F6D07"/>
    <w:rsid w:val="7E836B16"/>
    <w:rsid w:val="7E843EF9"/>
    <w:rsid w:val="7E9E1C06"/>
    <w:rsid w:val="7EA10391"/>
    <w:rsid w:val="7EA168BD"/>
    <w:rsid w:val="7EA818B0"/>
    <w:rsid w:val="7EAF11C2"/>
    <w:rsid w:val="7EAF3F0D"/>
    <w:rsid w:val="7EB027D9"/>
    <w:rsid w:val="7EB377E8"/>
    <w:rsid w:val="7EB870A5"/>
    <w:rsid w:val="7EBC033C"/>
    <w:rsid w:val="7EBE7D19"/>
    <w:rsid w:val="7EC748A2"/>
    <w:rsid w:val="7EC921C4"/>
    <w:rsid w:val="7ECB3A7B"/>
    <w:rsid w:val="7ECD54A1"/>
    <w:rsid w:val="7ED92098"/>
    <w:rsid w:val="7EE0628C"/>
    <w:rsid w:val="7EE840A4"/>
    <w:rsid w:val="7EEF64CE"/>
    <w:rsid w:val="7EF24AC7"/>
    <w:rsid w:val="7EF667A6"/>
    <w:rsid w:val="7F0C249D"/>
    <w:rsid w:val="7F1C7E7E"/>
    <w:rsid w:val="7F226425"/>
    <w:rsid w:val="7F2B7E31"/>
    <w:rsid w:val="7F2E699B"/>
    <w:rsid w:val="7F376DBE"/>
    <w:rsid w:val="7F437511"/>
    <w:rsid w:val="7F453DC2"/>
    <w:rsid w:val="7F4726F0"/>
    <w:rsid w:val="7F4740E2"/>
    <w:rsid w:val="7F4D0390"/>
    <w:rsid w:val="7F4F16BF"/>
    <w:rsid w:val="7F4F1B0D"/>
    <w:rsid w:val="7F5115EE"/>
    <w:rsid w:val="7F5178BA"/>
    <w:rsid w:val="7F6124C4"/>
    <w:rsid w:val="7F62111A"/>
    <w:rsid w:val="7F6A186E"/>
    <w:rsid w:val="7F82431A"/>
    <w:rsid w:val="7F8A7488"/>
    <w:rsid w:val="7F9201E5"/>
    <w:rsid w:val="7FAB3321"/>
    <w:rsid w:val="7FAF2AE9"/>
    <w:rsid w:val="7FB1456E"/>
    <w:rsid w:val="7FBD71AF"/>
    <w:rsid w:val="7FC561F2"/>
    <w:rsid w:val="7FCB35C9"/>
    <w:rsid w:val="7FCC5B87"/>
    <w:rsid w:val="7FCE7723"/>
    <w:rsid w:val="7FD10FC1"/>
    <w:rsid w:val="7FD211A2"/>
    <w:rsid w:val="7FD356DE"/>
    <w:rsid w:val="7FD66104"/>
    <w:rsid w:val="7FE32D94"/>
    <w:rsid w:val="7FE64A6C"/>
    <w:rsid w:val="7FF121BE"/>
    <w:rsid w:val="7FF30F37"/>
    <w:rsid w:val="7FFD51DB"/>
    <w:rsid w:val="D3EFAD75"/>
    <w:rsid w:val="DFBFE6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rFonts w:ascii="Tahoma" w:hAnsi="Tahoma"/>
      <w:b/>
      <w:bCs/>
      <w:kern w:val="44"/>
      <w:sz w:val="44"/>
      <w:szCs w:val="44"/>
    </w:rPr>
  </w:style>
  <w:style w:type="paragraph" w:styleId="4">
    <w:name w:val="heading 2"/>
    <w:basedOn w:val="1"/>
    <w:next w:val="1"/>
    <w:link w:val="140"/>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link w:val="117"/>
    <w:qFormat/>
    <w:uiPriority w:val="0"/>
    <w:pPr>
      <w:keepNext/>
      <w:keepLines/>
      <w:spacing w:before="260" w:after="260" w:line="413" w:lineRule="auto"/>
      <w:outlineLvl w:val="2"/>
    </w:pPr>
    <w:rPr>
      <w:rFonts w:ascii="Tahoma" w:hAnsi="Tahoma"/>
      <w:b/>
      <w:bCs/>
      <w:sz w:val="32"/>
      <w:szCs w:val="32"/>
    </w:rPr>
  </w:style>
  <w:style w:type="paragraph" w:styleId="7">
    <w:name w:val="heading 4"/>
    <w:basedOn w:val="1"/>
    <w:next w:val="1"/>
    <w:link w:val="90"/>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8">
    <w:name w:val="heading 5"/>
    <w:basedOn w:val="1"/>
    <w:next w:val="1"/>
    <w:link w:val="75"/>
    <w:qFormat/>
    <w:uiPriority w:val="0"/>
    <w:pPr>
      <w:keepNext/>
      <w:keepLines/>
      <w:adjustRightInd w:val="0"/>
      <w:spacing w:before="280" w:after="290" w:line="376" w:lineRule="atLeast"/>
      <w:textAlignment w:val="baseline"/>
      <w:outlineLvl w:val="4"/>
    </w:pPr>
    <w:rPr>
      <w:rFonts w:hAnsi="Times New Roman"/>
      <w:b/>
      <w:sz w:val="28"/>
    </w:rPr>
  </w:style>
  <w:style w:type="paragraph" w:styleId="9">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sz w:val="24"/>
    </w:rPr>
  </w:style>
  <w:style w:type="paragraph" w:styleId="10">
    <w:name w:val="heading 7"/>
    <w:basedOn w:val="1"/>
    <w:next w:val="1"/>
    <w:link w:val="107"/>
    <w:qFormat/>
    <w:uiPriority w:val="0"/>
    <w:pPr>
      <w:keepNext/>
      <w:keepLines/>
      <w:adjustRightInd w:val="0"/>
      <w:spacing w:before="240" w:after="64" w:line="320" w:lineRule="atLeast"/>
      <w:textAlignment w:val="baseline"/>
      <w:outlineLvl w:val="6"/>
    </w:pPr>
    <w:rPr>
      <w:rFonts w:hAnsi="Times New Roman"/>
      <w:b/>
      <w:sz w:val="24"/>
    </w:rPr>
  </w:style>
  <w:style w:type="paragraph" w:styleId="11">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sz w:val="24"/>
    </w:rPr>
  </w:style>
  <w:style w:type="paragraph" w:styleId="12">
    <w:name w:val="heading 9"/>
    <w:basedOn w:val="1"/>
    <w:next w:val="1"/>
    <w:link w:val="82"/>
    <w:qFormat/>
    <w:uiPriority w:val="0"/>
    <w:pPr>
      <w:keepNext/>
      <w:keepLines/>
      <w:adjustRightInd w:val="0"/>
      <w:spacing w:before="240" w:after="64" w:line="320" w:lineRule="atLeast"/>
      <w:textAlignment w:val="baseline"/>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0"/>
    <w:unhideWhenUsed/>
    <w:qFormat/>
    <w:uiPriority w:val="0"/>
    <w:pPr>
      <w:spacing w:after="120"/>
    </w:pPr>
    <w:rPr>
      <w:rFonts w:hAnsi="Times New Roman"/>
    </w:rPr>
  </w:style>
  <w:style w:type="paragraph" w:styleId="6">
    <w:name w:val="Normal Indent"/>
    <w:basedOn w:val="1"/>
    <w:next w:val="1"/>
    <w:link w:val="120"/>
    <w:qFormat/>
    <w:uiPriority w:val="0"/>
    <w:pPr>
      <w:ind w:firstLine="420"/>
    </w:pPr>
    <w:rPr>
      <w:rFonts w:ascii="Calibri"/>
      <w:sz w:val="20"/>
    </w:rPr>
  </w:style>
  <w:style w:type="paragraph" w:styleId="13">
    <w:name w:val="toc 7"/>
    <w:basedOn w:val="1"/>
    <w:next w:val="1"/>
    <w:qFormat/>
    <w:uiPriority w:val="39"/>
    <w:pPr>
      <w:ind w:left="2520" w:leftChars="1200"/>
    </w:pPr>
    <w:rPr>
      <w:szCs w:val="24"/>
    </w:rPr>
  </w:style>
  <w:style w:type="paragraph" w:styleId="14">
    <w:name w:val="caption"/>
    <w:basedOn w:val="1"/>
    <w:next w:val="1"/>
    <w:qFormat/>
    <w:uiPriority w:val="35"/>
    <w:rPr>
      <w:rFonts w:ascii="Arial" w:hAnsi="Arial" w:eastAsia="黑体" w:cs="Arial"/>
      <w:sz w:val="20"/>
    </w:rPr>
  </w:style>
  <w:style w:type="paragraph" w:styleId="15">
    <w:name w:val="Document Map"/>
    <w:basedOn w:val="1"/>
    <w:link w:val="115"/>
    <w:qFormat/>
    <w:uiPriority w:val="0"/>
    <w:rPr>
      <w:rFonts w:hAnsi="Times New Roman"/>
      <w:sz w:val="18"/>
      <w:szCs w:val="18"/>
    </w:rPr>
  </w:style>
  <w:style w:type="paragraph" w:styleId="16">
    <w:name w:val="annotation text"/>
    <w:basedOn w:val="1"/>
    <w:link w:val="79"/>
    <w:qFormat/>
    <w:uiPriority w:val="0"/>
    <w:pPr>
      <w:adjustRightInd w:val="0"/>
      <w:spacing w:line="315" w:lineRule="atLeast"/>
      <w:jc w:val="left"/>
      <w:textAlignment w:val="baseline"/>
    </w:pPr>
    <w:rPr>
      <w:rFonts w:hAnsi="Times New Roman"/>
    </w:rPr>
  </w:style>
  <w:style w:type="paragraph" w:styleId="17">
    <w:name w:val="Salutation"/>
    <w:basedOn w:val="1"/>
    <w:next w:val="1"/>
    <w:link w:val="65"/>
    <w:qFormat/>
    <w:uiPriority w:val="99"/>
    <w:rPr>
      <w:rFonts w:ascii="Times New Roman" w:hAnsi="Times New Roman"/>
      <w:sz w:val="20"/>
      <w:szCs w:val="24"/>
    </w:rPr>
  </w:style>
  <w:style w:type="paragraph" w:styleId="18">
    <w:name w:val="Body Text 3"/>
    <w:basedOn w:val="1"/>
    <w:link w:val="73"/>
    <w:qFormat/>
    <w:uiPriority w:val="0"/>
    <w:pPr>
      <w:spacing w:line="500" w:lineRule="exact"/>
    </w:pPr>
    <w:rPr>
      <w:rFonts w:hAnsi="Times New Roman"/>
      <w:b/>
      <w:bCs/>
      <w:sz w:val="24"/>
      <w:szCs w:val="24"/>
    </w:rPr>
  </w:style>
  <w:style w:type="paragraph" w:styleId="19">
    <w:name w:val="List Bullet 3"/>
    <w:basedOn w:val="1"/>
    <w:qFormat/>
    <w:uiPriority w:val="0"/>
    <w:pPr>
      <w:numPr>
        <w:ilvl w:val="0"/>
        <w:numId w:val="1"/>
      </w:numPr>
    </w:pPr>
    <w:rPr>
      <w:szCs w:val="24"/>
    </w:rPr>
  </w:style>
  <w:style w:type="paragraph" w:styleId="20">
    <w:name w:val="Body Text Indent"/>
    <w:basedOn w:val="1"/>
    <w:link w:val="139"/>
    <w:qFormat/>
    <w:uiPriority w:val="0"/>
    <w:pPr>
      <w:ind w:firstLine="795"/>
    </w:pPr>
    <w:rPr>
      <w:rFonts w:ascii="Calibri"/>
      <w:sz w:val="32"/>
    </w:rPr>
  </w:style>
  <w:style w:type="paragraph" w:styleId="21">
    <w:name w:val="Block Text"/>
    <w:basedOn w:val="1"/>
    <w:qFormat/>
    <w:uiPriority w:val="0"/>
    <w:pPr>
      <w:spacing w:line="400" w:lineRule="exact"/>
      <w:ind w:left="-359" w:leftChars="-171" w:right="-687" w:rightChars="-327" w:firstLine="720"/>
    </w:pPr>
    <w:rPr>
      <w:rFonts w:hAnsi="宋体"/>
      <w:sz w:val="28"/>
      <w:szCs w:val="24"/>
    </w:rPr>
  </w:style>
  <w:style w:type="paragraph" w:styleId="22">
    <w:name w:val="List Bullet 2"/>
    <w:basedOn w:val="1"/>
    <w:qFormat/>
    <w:uiPriority w:val="0"/>
    <w:pPr>
      <w:numPr>
        <w:ilvl w:val="0"/>
        <w:numId w:val="2"/>
      </w:numPr>
    </w:pPr>
    <w:rPr>
      <w:szCs w:val="24"/>
    </w:rPr>
  </w:style>
  <w:style w:type="paragraph" w:styleId="23">
    <w:name w:val="toc 5"/>
    <w:basedOn w:val="1"/>
    <w:next w:val="1"/>
    <w:qFormat/>
    <w:uiPriority w:val="39"/>
    <w:pPr>
      <w:ind w:left="1680" w:leftChars="800"/>
    </w:pPr>
    <w:rPr>
      <w:szCs w:val="24"/>
    </w:rPr>
  </w:style>
  <w:style w:type="paragraph" w:styleId="24">
    <w:name w:val="toc 3"/>
    <w:basedOn w:val="1"/>
    <w:next w:val="1"/>
    <w:qFormat/>
    <w:uiPriority w:val="39"/>
    <w:pPr>
      <w:tabs>
        <w:tab w:val="right" w:leader="dot" w:pos="8302"/>
      </w:tabs>
      <w:ind w:left="420"/>
      <w:jc w:val="left"/>
    </w:pPr>
    <w:rPr>
      <w:sz w:val="20"/>
    </w:rPr>
  </w:style>
  <w:style w:type="paragraph" w:styleId="25">
    <w:name w:val="Plain Text"/>
    <w:basedOn w:val="1"/>
    <w:next w:val="1"/>
    <w:link w:val="101"/>
    <w:qFormat/>
    <w:uiPriority w:val="0"/>
    <w:pPr>
      <w:spacing w:line="360" w:lineRule="auto"/>
    </w:pPr>
    <w:rPr>
      <w:rFonts w:hAnsi="Courier New"/>
      <w:sz w:val="24"/>
      <w:szCs w:val="24"/>
    </w:rPr>
  </w:style>
  <w:style w:type="paragraph" w:styleId="26">
    <w:name w:val="toc 8"/>
    <w:basedOn w:val="1"/>
    <w:next w:val="1"/>
    <w:qFormat/>
    <w:uiPriority w:val="39"/>
    <w:pPr>
      <w:ind w:left="2940" w:leftChars="1400"/>
    </w:pPr>
    <w:rPr>
      <w:szCs w:val="24"/>
    </w:rPr>
  </w:style>
  <w:style w:type="paragraph" w:styleId="27">
    <w:name w:val="Date"/>
    <w:basedOn w:val="1"/>
    <w:next w:val="1"/>
    <w:link w:val="89"/>
    <w:qFormat/>
    <w:uiPriority w:val="0"/>
    <w:rPr>
      <w:rFonts w:ascii="Tahoma" w:hAnsi="Tahoma" w:eastAsia="楷体"/>
      <w:sz w:val="32"/>
      <w:szCs w:val="24"/>
    </w:rPr>
  </w:style>
  <w:style w:type="paragraph" w:styleId="28">
    <w:name w:val="Body Text Indent 2"/>
    <w:basedOn w:val="1"/>
    <w:link w:val="67"/>
    <w:qFormat/>
    <w:uiPriority w:val="0"/>
    <w:pPr>
      <w:ind w:left="105" w:firstLine="690"/>
    </w:pPr>
    <w:rPr>
      <w:rFonts w:hAnsi="Times New Roman"/>
      <w:sz w:val="32"/>
    </w:rPr>
  </w:style>
  <w:style w:type="paragraph" w:styleId="29">
    <w:name w:val="Balloon Text"/>
    <w:basedOn w:val="1"/>
    <w:link w:val="141"/>
    <w:qFormat/>
    <w:uiPriority w:val="0"/>
    <w:rPr>
      <w:rFonts w:hAnsi="Times New Roman"/>
      <w:sz w:val="18"/>
      <w:szCs w:val="18"/>
    </w:rPr>
  </w:style>
  <w:style w:type="paragraph" w:styleId="30">
    <w:name w:val="footer"/>
    <w:basedOn w:val="1"/>
    <w:link w:val="102"/>
    <w:unhideWhenUsed/>
    <w:qFormat/>
    <w:uiPriority w:val="0"/>
    <w:pPr>
      <w:tabs>
        <w:tab w:val="center" w:pos="4153"/>
        <w:tab w:val="right" w:pos="8306"/>
      </w:tabs>
      <w:snapToGrid w:val="0"/>
      <w:jc w:val="left"/>
    </w:pPr>
    <w:rPr>
      <w:rFonts w:ascii="Calibri"/>
      <w:sz w:val="18"/>
      <w:szCs w:val="18"/>
    </w:rPr>
  </w:style>
  <w:style w:type="paragraph" w:styleId="31">
    <w:name w:val="header"/>
    <w:basedOn w:val="1"/>
    <w:link w:val="108"/>
    <w:unhideWhenUsed/>
    <w:qFormat/>
    <w:uiPriority w:val="0"/>
    <w:pPr>
      <w:pBdr>
        <w:bottom w:val="single" w:color="auto" w:sz="6" w:space="1"/>
      </w:pBdr>
      <w:tabs>
        <w:tab w:val="center" w:pos="4153"/>
        <w:tab w:val="right" w:pos="8306"/>
      </w:tabs>
      <w:snapToGrid w:val="0"/>
      <w:jc w:val="center"/>
    </w:pPr>
    <w:rPr>
      <w:rFonts w:ascii="Calibri"/>
      <w:sz w:val="18"/>
      <w:szCs w:val="18"/>
    </w:rPr>
  </w:style>
  <w:style w:type="paragraph" w:styleId="32">
    <w:name w:val="toc 1"/>
    <w:basedOn w:val="1"/>
    <w:next w:val="1"/>
    <w:qFormat/>
    <w:uiPriority w:val="39"/>
    <w:pPr>
      <w:tabs>
        <w:tab w:val="left" w:pos="840"/>
        <w:tab w:val="right" w:leader="dot" w:pos="8302"/>
      </w:tabs>
      <w:spacing w:before="120" w:after="120"/>
      <w:jc w:val="left"/>
    </w:pPr>
    <w:rPr>
      <w:rFonts w:ascii="微软雅黑" w:hAnsi="微软雅黑" w:eastAsia="微软雅黑"/>
      <w:color w:val="FFFFFF"/>
      <w:sz w:val="24"/>
      <w:szCs w:val="24"/>
    </w:rPr>
  </w:style>
  <w:style w:type="paragraph" w:styleId="33">
    <w:name w:val="toc 4"/>
    <w:basedOn w:val="1"/>
    <w:next w:val="1"/>
    <w:qFormat/>
    <w:uiPriority w:val="39"/>
    <w:pPr>
      <w:ind w:left="1260" w:leftChars="600"/>
    </w:pPr>
    <w:rPr>
      <w:szCs w:val="24"/>
    </w:rPr>
  </w:style>
  <w:style w:type="paragraph" w:styleId="34">
    <w:name w:val="List"/>
    <w:basedOn w:val="1"/>
    <w:qFormat/>
    <w:uiPriority w:val="0"/>
    <w:pPr>
      <w:ind w:left="420" w:hanging="420"/>
    </w:pPr>
  </w:style>
  <w:style w:type="paragraph" w:styleId="35">
    <w:name w:val="toc 6"/>
    <w:basedOn w:val="1"/>
    <w:next w:val="1"/>
    <w:qFormat/>
    <w:uiPriority w:val="39"/>
    <w:pPr>
      <w:ind w:left="2100" w:leftChars="1000"/>
    </w:pPr>
    <w:rPr>
      <w:szCs w:val="24"/>
    </w:rPr>
  </w:style>
  <w:style w:type="paragraph" w:styleId="36">
    <w:name w:val="Body Text Indent 3"/>
    <w:basedOn w:val="1"/>
    <w:link w:val="119"/>
    <w:qFormat/>
    <w:uiPriority w:val="0"/>
    <w:pPr>
      <w:adjustRightInd w:val="0"/>
      <w:spacing w:line="360" w:lineRule="auto"/>
      <w:ind w:left="960"/>
      <w:jc w:val="left"/>
      <w:textAlignment w:val="baseline"/>
    </w:pPr>
    <w:rPr>
      <w:rFonts w:hAnsi="Times New Roman" w:eastAsia="楷体"/>
      <w:sz w:val="24"/>
    </w:rPr>
  </w:style>
  <w:style w:type="paragraph" w:styleId="37">
    <w:name w:val="toc 2"/>
    <w:basedOn w:val="1"/>
    <w:next w:val="1"/>
    <w:qFormat/>
    <w:uiPriority w:val="39"/>
    <w:pPr>
      <w:ind w:left="210"/>
      <w:jc w:val="left"/>
    </w:pPr>
    <w:rPr>
      <w:smallCaps/>
      <w:sz w:val="20"/>
    </w:rPr>
  </w:style>
  <w:style w:type="paragraph" w:styleId="38">
    <w:name w:val="toc 9"/>
    <w:basedOn w:val="1"/>
    <w:next w:val="1"/>
    <w:qFormat/>
    <w:uiPriority w:val="39"/>
    <w:pPr>
      <w:ind w:left="3360" w:leftChars="1600"/>
    </w:pPr>
    <w:rPr>
      <w:szCs w:val="24"/>
    </w:rPr>
  </w:style>
  <w:style w:type="paragraph" w:styleId="39">
    <w:name w:val="Body Text 2"/>
    <w:basedOn w:val="1"/>
    <w:link w:val="71"/>
    <w:qFormat/>
    <w:uiPriority w:val="0"/>
    <w:pPr>
      <w:spacing w:after="120" w:line="480" w:lineRule="auto"/>
    </w:pPr>
    <w:rPr>
      <w:rFonts w:hAnsi="Times New Roman"/>
      <w:szCs w:val="24"/>
    </w:rPr>
  </w:style>
  <w:style w:type="paragraph" w:styleId="4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rPr>
  </w:style>
  <w:style w:type="paragraph" w:styleId="41">
    <w:name w:val="Normal (Web)"/>
    <w:basedOn w:val="1"/>
    <w:qFormat/>
    <w:uiPriority w:val="0"/>
    <w:pPr>
      <w:widowControl/>
      <w:spacing w:before="100" w:beforeAutospacing="1" w:after="100" w:afterAutospacing="1" w:line="408" w:lineRule="auto"/>
      <w:jc w:val="left"/>
    </w:pPr>
    <w:rPr>
      <w:rFonts w:ascii="Arial" w:hAnsi="Arial" w:cs="Arial"/>
      <w:sz w:val="18"/>
      <w:szCs w:val="18"/>
    </w:rPr>
  </w:style>
  <w:style w:type="paragraph" w:styleId="42">
    <w:name w:val="Title"/>
    <w:basedOn w:val="1"/>
    <w:link w:val="137"/>
    <w:qFormat/>
    <w:uiPriority w:val="0"/>
    <w:pPr>
      <w:jc w:val="center"/>
    </w:pPr>
    <w:rPr>
      <w:rFonts w:eastAsia="Times New Roman"/>
      <w:sz w:val="30"/>
      <w:szCs w:val="24"/>
    </w:rPr>
  </w:style>
  <w:style w:type="paragraph" w:styleId="43">
    <w:name w:val="annotation subject"/>
    <w:basedOn w:val="16"/>
    <w:next w:val="16"/>
    <w:link w:val="66"/>
    <w:unhideWhenUsed/>
    <w:qFormat/>
    <w:uiPriority w:val="99"/>
    <w:pPr>
      <w:adjustRightInd/>
      <w:spacing w:line="240" w:lineRule="auto"/>
      <w:textAlignment w:val="auto"/>
    </w:pPr>
    <w:rPr>
      <w:b/>
      <w:bCs/>
    </w:rPr>
  </w:style>
  <w:style w:type="paragraph" w:styleId="44">
    <w:name w:val="Body Text First Indent"/>
    <w:basedOn w:val="2"/>
    <w:link w:val="114"/>
    <w:qFormat/>
    <w:uiPriority w:val="0"/>
    <w:pPr>
      <w:ind w:firstLine="420" w:firstLineChars="100"/>
    </w:pPr>
  </w:style>
  <w:style w:type="paragraph" w:styleId="45">
    <w:name w:val="Body Text First Indent 2"/>
    <w:basedOn w:val="20"/>
    <w:link w:val="96"/>
    <w:qFormat/>
    <w:uiPriority w:val="0"/>
    <w:pPr>
      <w:spacing w:after="120"/>
      <w:ind w:left="420" w:leftChars="200" w:firstLine="420" w:firstLineChars="200"/>
    </w:pPr>
    <w:rPr>
      <w:rFonts w:ascii="宋体" w:hAnsi="Times New Roman"/>
      <w:sz w:val="34"/>
      <w:szCs w:val="24"/>
    </w:rPr>
  </w:style>
  <w:style w:type="table" w:styleId="47">
    <w:name w:val="Table Grid"/>
    <w:basedOn w:val="46"/>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basedOn w:val="48"/>
    <w:qFormat/>
    <w:uiPriority w:val="0"/>
    <w:rPr>
      <w:rFonts w:ascii="Tahoma" w:hAnsi="Tahoma"/>
      <w:b/>
      <w:bCs/>
      <w:sz w:val="24"/>
      <w:szCs w:val="24"/>
    </w:rPr>
  </w:style>
  <w:style w:type="character" w:styleId="50">
    <w:name w:val="page number"/>
    <w:basedOn w:val="48"/>
    <w:qFormat/>
    <w:uiPriority w:val="0"/>
    <w:rPr>
      <w:rFonts w:eastAsia="Times New Roman"/>
      <w:kern w:val="0"/>
      <w:sz w:val="20"/>
      <w:szCs w:val="24"/>
      <w:lang w:val="en-US" w:eastAsia="zh-CN"/>
    </w:rPr>
  </w:style>
  <w:style w:type="character" w:styleId="51">
    <w:name w:val="FollowedHyperlink"/>
    <w:qFormat/>
    <w:uiPriority w:val="0"/>
    <w:rPr>
      <w:rFonts w:ascii="Tahoma" w:hAnsi="Tahoma"/>
      <w:color w:val="800080"/>
      <w:sz w:val="24"/>
      <w:szCs w:val="24"/>
      <w:u w:val="single"/>
    </w:rPr>
  </w:style>
  <w:style w:type="character" w:styleId="52">
    <w:name w:val="Emphasis"/>
    <w:qFormat/>
    <w:uiPriority w:val="0"/>
    <w:rPr>
      <w:rFonts w:ascii="Tahoma" w:hAnsi="Tahoma"/>
      <w:color w:val="CC0000"/>
      <w:sz w:val="24"/>
      <w:szCs w:val="24"/>
    </w:rPr>
  </w:style>
  <w:style w:type="character" w:styleId="53">
    <w:name w:val="HTML Definition"/>
    <w:unhideWhenUsed/>
    <w:qFormat/>
    <w:uiPriority w:val="99"/>
  </w:style>
  <w:style w:type="character" w:styleId="54">
    <w:name w:val="HTML Variable"/>
    <w:unhideWhenUsed/>
    <w:qFormat/>
    <w:uiPriority w:val="99"/>
  </w:style>
  <w:style w:type="character" w:styleId="55">
    <w:name w:val="Hyperlink"/>
    <w:qFormat/>
    <w:uiPriority w:val="99"/>
    <w:rPr>
      <w:rFonts w:ascii="Tahoma" w:hAnsi="Tahoma"/>
      <w:color w:val="0000FF"/>
      <w:sz w:val="24"/>
      <w:szCs w:val="24"/>
      <w:u w:val="single"/>
    </w:rPr>
  </w:style>
  <w:style w:type="character" w:styleId="56">
    <w:name w:val="HTML Code"/>
    <w:unhideWhenUsed/>
    <w:qFormat/>
    <w:uiPriority w:val="99"/>
    <w:rPr>
      <w:rFonts w:ascii="Courier New" w:hAnsi="Courier New"/>
      <w:sz w:val="20"/>
    </w:rPr>
  </w:style>
  <w:style w:type="character" w:styleId="57">
    <w:name w:val="annotation reference"/>
    <w:qFormat/>
    <w:uiPriority w:val="0"/>
    <w:rPr>
      <w:rFonts w:ascii="Tahoma" w:hAnsi="Tahoma"/>
      <w:sz w:val="21"/>
      <w:szCs w:val="24"/>
    </w:rPr>
  </w:style>
  <w:style w:type="character" w:styleId="58">
    <w:name w:val="HTML Cite"/>
    <w:unhideWhenUsed/>
    <w:qFormat/>
    <w:uiPriority w:val="99"/>
  </w:style>
  <w:style w:type="paragraph" w:customStyle="1" w:styleId="59">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60">
    <w:name w:val="op-map-singlepoint-info-right1"/>
    <w:qFormat/>
    <w:uiPriority w:val="0"/>
    <w:rPr>
      <w:rFonts w:eastAsia="Times New Roman"/>
      <w:kern w:val="0"/>
      <w:sz w:val="20"/>
      <w:szCs w:val="24"/>
      <w:lang w:val="en-US" w:eastAsia="zh-CN"/>
    </w:rPr>
  </w:style>
  <w:style w:type="character" w:customStyle="1" w:styleId="61">
    <w:name w:val="正文首行缩进两字符 Char"/>
    <w:qFormat/>
    <w:uiPriority w:val="0"/>
    <w:rPr>
      <w:rFonts w:ascii="Tahoma" w:hAnsi="Tahoma" w:eastAsia="宋体"/>
      <w:kern w:val="2"/>
      <w:sz w:val="21"/>
      <w:szCs w:val="24"/>
      <w:lang w:val="en-US" w:eastAsia="zh-CN" w:bidi="ar-SA"/>
    </w:rPr>
  </w:style>
  <w:style w:type="character" w:customStyle="1" w:styleId="62">
    <w:name w:val="标题 8 字符"/>
    <w:link w:val="11"/>
    <w:qFormat/>
    <w:uiPriority w:val="0"/>
    <w:rPr>
      <w:rFonts w:ascii="Arial" w:hAnsi="Arial" w:eastAsia="黑体" w:cs="Times New Roman"/>
      <w:kern w:val="0"/>
      <w:sz w:val="24"/>
      <w:szCs w:val="20"/>
    </w:rPr>
  </w:style>
  <w:style w:type="character" w:customStyle="1" w:styleId="63">
    <w:name w:val="Char Char4"/>
    <w:qFormat/>
    <w:uiPriority w:val="0"/>
    <w:rPr>
      <w:rFonts w:ascii="Tahoma" w:hAnsi="Tahoma"/>
      <w:kern w:val="2"/>
      <w:sz w:val="18"/>
      <w:szCs w:val="18"/>
    </w:rPr>
  </w:style>
  <w:style w:type="character" w:customStyle="1" w:styleId="64">
    <w:name w:val="标题 6 字符"/>
    <w:link w:val="9"/>
    <w:qFormat/>
    <w:uiPriority w:val="0"/>
    <w:rPr>
      <w:rFonts w:ascii="Arial" w:hAnsi="Arial" w:eastAsia="黑体" w:cs="Times New Roman"/>
      <w:b/>
      <w:kern w:val="0"/>
      <w:sz w:val="24"/>
      <w:szCs w:val="20"/>
    </w:rPr>
  </w:style>
  <w:style w:type="character" w:customStyle="1" w:styleId="65">
    <w:name w:val="称呼 字符"/>
    <w:link w:val="17"/>
    <w:qFormat/>
    <w:uiPriority w:val="99"/>
    <w:rPr>
      <w:rFonts w:ascii="Times New Roman" w:hAnsi="Times New Roman"/>
      <w:szCs w:val="24"/>
    </w:rPr>
  </w:style>
  <w:style w:type="character" w:customStyle="1" w:styleId="66">
    <w:name w:val="批注主题 字符"/>
    <w:link w:val="43"/>
    <w:semiHidden/>
    <w:qFormat/>
    <w:uiPriority w:val="99"/>
    <w:rPr>
      <w:rFonts w:ascii="宋体" w:hAnsi="Times New Roman" w:eastAsia="宋体" w:cs="Times New Roman"/>
      <w:b/>
      <w:bCs/>
      <w:kern w:val="0"/>
      <w:sz w:val="34"/>
      <w:szCs w:val="20"/>
    </w:rPr>
  </w:style>
  <w:style w:type="character" w:customStyle="1" w:styleId="67">
    <w:name w:val="正文文本缩进 2 字符"/>
    <w:link w:val="28"/>
    <w:qFormat/>
    <w:uiPriority w:val="0"/>
    <w:rPr>
      <w:rFonts w:ascii="宋体" w:hAnsi="Times New Roman" w:eastAsia="宋体" w:cs="Times New Roman"/>
      <w:kern w:val="0"/>
      <w:sz w:val="32"/>
      <w:szCs w:val="20"/>
    </w:rPr>
  </w:style>
  <w:style w:type="character" w:customStyle="1" w:styleId="68">
    <w:name w:val="abcde1"/>
    <w:qFormat/>
    <w:uiPriority w:val="0"/>
    <w:rPr>
      <w:rFonts w:eastAsia="Times New Roman"/>
      <w:kern w:val="0"/>
      <w:sz w:val="20"/>
      <w:szCs w:val="24"/>
      <w:lang w:val="en-US" w:eastAsia="zh-CN"/>
    </w:rPr>
  </w:style>
  <w:style w:type="character" w:customStyle="1" w:styleId="69">
    <w:name w:val="text"/>
    <w:qFormat/>
    <w:uiPriority w:val="0"/>
    <w:rPr>
      <w:rFonts w:eastAsia="Times New Roman"/>
      <w:kern w:val="0"/>
      <w:sz w:val="20"/>
      <w:szCs w:val="24"/>
      <w:lang w:val="en-US" w:eastAsia="zh-CN"/>
    </w:rPr>
  </w:style>
  <w:style w:type="character" w:customStyle="1" w:styleId="70">
    <w:name w:val="标题 3 Char"/>
    <w:qFormat/>
    <w:uiPriority w:val="0"/>
    <w:rPr>
      <w:rFonts w:ascii="宋体" w:hAnsi="Times New Roman" w:eastAsia="宋体" w:cs="Times New Roman"/>
      <w:b/>
      <w:bCs/>
      <w:kern w:val="0"/>
      <w:sz w:val="32"/>
      <w:szCs w:val="32"/>
    </w:rPr>
  </w:style>
  <w:style w:type="character" w:customStyle="1" w:styleId="71">
    <w:name w:val="正文文本 2 字符"/>
    <w:link w:val="39"/>
    <w:qFormat/>
    <w:uiPriority w:val="0"/>
    <w:rPr>
      <w:rFonts w:ascii="宋体" w:hAnsi="Times New Roman" w:eastAsia="宋体" w:cs="Times New Roman"/>
      <w:kern w:val="0"/>
      <w:sz w:val="34"/>
      <w:szCs w:val="24"/>
    </w:rPr>
  </w:style>
  <w:style w:type="character" w:customStyle="1" w:styleId="72">
    <w:name w:val="ca-111"/>
    <w:qFormat/>
    <w:uiPriority w:val="0"/>
    <w:rPr>
      <w:rFonts w:hint="eastAsia" w:ascii="宋体" w:hAnsi="宋体" w:eastAsia="宋体"/>
      <w:color w:val="000000"/>
      <w:sz w:val="24"/>
      <w:szCs w:val="24"/>
    </w:rPr>
  </w:style>
  <w:style w:type="character" w:customStyle="1" w:styleId="73">
    <w:name w:val="正文文本 3 字符"/>
    <w:link w:val="18"/>
    <w:qFormat/>
    <w:uiPriority w:val="0"/>
    <w:rPr>
      <w:rFonts w:ascii="宋体" w:hAnsi="Times New Roman" w:eastAsia="宋体" w:cs="Times New Roman"/>
      <w:b/>
      <w:bCs/>
      <w:kern w:val="0"/>
      <w:sz w:val="24"/>
      <w:szCs w:val="24"/>
    </w:rPr>
  </w:style>
  <w:style w:type="character" w:customStyle="1" w:styleId="74">
    <w:name w:val="Char Char1"/>
    <w:qFormat/>
    <w:uiPriority w:val="0"/>
    <w:rPr>
      <w:rFonts w:ascii="宋体" w:hAnsi="Courier New" w:eastAsia="宋体"/>
      <w:kern w:val="2"/>
      <w:sz w:val="24"/>
      <w:szCs w:val="24"/>
      <w:lang w:val="en-US" w:eastAsia="zh-CN" w:bidi="ar-SA"/>
    </w:rPr>
  </w:style>
  <w:style w:type="character" w:customStyle="1" w:styleId="75">
    <w:name w:val="标题 5 字符"/>
    <w:link w:val="8"/>
    <w:qFormat/>
    <w:uiPriority w:val="0"/>
    <w:rPr>
      <w:rFonts w:ascii="宋体" w:hAnsi="Times New Roman" w:eastAsia="宋体" w:cs="Times New Roman"/>
      <w:b/>
      <w:kern w:val="0"/>
      <w:sz w:val="28"/>
      <w:szCs w:val="20"/>
    </w:rPr>
  </w:style>
  <w:style w:type="character" w:customStyle="1" w:styleId="76">
    <w:name w:val="ca-1"/>
    <w:qFormat/>
    <w:uiPriority w:val="0"/>
    <w:rPr>
      <w:rFonts w:eastAsia="Times New Roman"/>
      <w:kern w:val="0"/>
      <w:sz w:val="20"/>
      <w:szCs w:val="24"/>
      <w:lang w:val="en-US" w:eastAsia="zh-CN"/>
    </w:rPr>
  </w:style>
  <w:style w:type="character" w:customStyle="1" w:styleId="77">
    <w:name w:val="h Char"/>
    <w:qFormat/>
    <w:uiPriority w:val="0"/>
    <w:rPr>
      <w:sz w:val="18"/>
      <w:szCs w:val="24"/>
    </w:rPr>
  </w:style>
  <w:style w:type="character" w:customStyle="1" w:styleId="78">
    <w:name w:val="apple-style-span"/>
    <w:qFormat/>
    <w:uiPriority w:val="0"/>
    <w:rPr>
      <w:rFonts w:ascii="Times New Roman" w:hAnsi="Tahoma" w:eastAsia="宋体"/>
      <w:color w:val="000000"/>
      <w:spacing w:val="0"/>
      <w:w w:val="100"/>
      <w:sz w:val="21"/>
      <w:szCs w:val="24"/>
      <w:u w:val="none" w:color="000000"/>
      <w:vertAlign w:val="baseline"/>
      <w:lang w:val="en-US" w:eastAsia="zh-CN"/>
    </w:rPr>
  </w:style>
  <w:style w:type="character" w:customStyle="1" w:styleId="79">
    <w:name w:val="批注文字 字符"/>
    <w:link w:val="16"/>
    <w:qFormat/>
    <w:uiPriority w:val="0"/>
    <w:rPr>
      <w:rFonts w:ascii="宋体" w:hAnsi="Times New Roman" w:eastAsia="宋体" w:cs="Times New Roman"/>
      <w:kern w:val="0"/>
      <w:sz w:val="34"/>
      <w:szCs w:val="20"/>
    </w:rPr>
  </w:style>
  <w:style w:type="character" w:customStyle="1" w:styleId="80">
    <w:name w:val="标题 1 字符"/>
    <w:link w:val="3"/>
    <w:qFormat/>
    <w:uiPriority w:val="0"/>
    <w:rPr>
      <w:rFonts w:ascii="Tahoma" w:hAnsi="Tahoma" w:eastAsia="宋体" w:cs="Times New Roman"/>
      <w:b/>
      <w:bCs/>
      <w:kern w:val="44"/>
      <w:sz w:val="44"/>
      <w:szCs w:val="44"/>
    </w:rPr>
  </w:style>
  <w:style w:type="character" w:customStyle="1" w:styleId="81">
    <w:name w:val="Char Char11"/>
    <w:qFormat/>
    <w:uiPriority w:val="0"/>
    <w:rPr>
      <w:rFonts w:ascii="Tahoma" w:hAnsi="Tahoma"/>
      <w:kern w:val="2"/>
      <w:sz w:val="18"/>
      <w:szCs w:val="18"/>
    </w:rPr>
  </w:style>
  <w:style w:type="character" w:customStyle="1" w:styleId="82">
    <w:name w:val="标题 9 字符"/>
    <w:link w:val="12"/>
    <w:qFormat/>
    <w:uiPriority w:val="0"/>
    <w:rPr>
      <w:rFonts w:ascii="Arial" w:hAnsi="Arial" w:eastAsia="黑体" w:cs="Times New Roman"/>
      <w:kern w:val="0"/>
      <w:sz w:val="34"/>
      <w:szCs w:val="20"/>
    </w:rPr>
  </w:style>
  <w:style w:type="character" w:customStyle="1" w:styleId="83">
    <w:name w:val="Char Char2"/>
    <w:qFormat/>
    <w:uiPriority w:val="0"/>
    <w:rPr>
      <w:rFonts w:ascii="Tahoma" w:hAnsi="Tahoma"/>
      <w:kern w:val="2"/>
      <w:sz w:val="18"/>
      <w:szCs w:val="18"/>
    </w:rPr>
  </w:style>
  <w:style w:type="character" w:customStyle="1" w:styleId="84">
    <w:name w:val="Para head"/>
    <w:qFormat/>
    <w:uiPriority w:val="0"/>
    <w:rPr>
      <w:rFonts w:ascii="Arial" w:hAnsi="Arial" w:eastAsia="Times New Roman"/>
      <w:sz w:val="20"/>
      <w:szCs w:val="24"/>
    </w:rPr>
  </w:style>
  <w:style w:type="character" w:customStyle="1" w:styleId="85">
    <w:name w:val="Char Char5"/>
    <w:qFormat/>
    <w:uiPriority w:val="0"/>
    <w:rPr>
      <w:rFonts w:ascii="Tahoma" w:hAnsi="Tahoma"/>
      <w:kern w:val="2"/>
      <w:sz w:val="18"/>
      <w:szCs w:val="18"/>
    </w:rPr>
  </w:style>
  <w:style w:type="character" w:customStyle="1" w:styleId="86">
    <w:name w:val="内文"/>
    <w:qFormat/>
    <w:uiPriority w:val="0"/>
    <w:rPr>
      <w:rFonts w:ascii="方正中等线简体 Regular" w:eastAsia="方正中等线简体 Regular" w:cs="方正中等线简体 Regular"/>
      <w:spacing w:val="-2"/>
      <w:sz w:val="16"/>
      <w:szCs w:val="16"/>
    </w:rPr>
  </w:style>
  <w:style w:type="character" w:customStyle="1" w:styleId="87">
    <w:name w:val="称呼 Char"/>
    <w:semiHidden/>
    <w:qFormat/>
    <w:uiPriority w:val="99"/>
    <w:rPr>
      <w:rFonts w:ascii="宋体" w:hAnsi="Times New Roman"/>
      <w:sz w:val="34"/>
    </w:rPr>
  </w:style>
  <w:style w:type="character" w:customStyle="1" w:styleId="88">
    <w:name w:val="11-a-a"/>
    <w:qFormat/>
    <w:uiPriority w:val="0"/>
    <w:rPr>
      <w:rFonts w:eastAsia="Times New Roman"/>
      <w:kern w:val="0"/>
      <w:sz w:val="20"/>
      <w:szCs w:val="24"/>
      <w:lang w:val="en-US" w:eastAsia="zh-CN"/>
    </w:rPr>
  </w:style>
  <w:style w:type="character" w:customStyle="1" w:styleId="89">
    <w:name w:val="日期 字符"/>
    <w:link w:val="27"/>
    <w:qFormat/>
    <w:uiPriority w:val="0"/>
    <w:rPr>
      <w:rFonts w:ascii="Tahoma" w:hAnsi="Tahoma" w:eastAsia="楷体"/>
      <w:sz w:val="32"/>
      <w:szCs w:val="24"/>
    </w:rPr>
  </w:style>
  <w:style w:type="character" w:customStyle="1" w:styleId="90">
    <w:name w:val="标题 4 字符"/>
    <w:link w:val="7"/>
    <w:qFormat/>
    <w:uiPriority w:val="0"/>
    <w:rPr>
      <w:rFonts w:ascii="Arial" w:hAnsi="Arial" w:eastAsia="黑体" w:cs="Times New Roman"/>
      <w:b/>
      <w:kern w:val="0"/>
      <w:sz w:val="28"/>
      <w:szCs w:val="20"/>
    </w:rPr>
  </w:style>
  <w:style w:type="character" w:customStyle="1" w:styleId="91">
    <w:name w:val="ca-161"/>
    <w:qFormat/>
    <w:uiPriority w:val="0"/>
    <w:rPr>
      <w:rFonts w:ascii="宋体" w:hAnsi="宋体" w:eastAsia="宋体"/>
      <w:sz w:val="22"/>
      <w:szCs w:val="24"/>
    </w:rPr>
  </w:style>
  <w:style w:type="character" w:customStyle="1" w:styleId="92">
    <w:name w:val="textnorm_chn1"/>
    <w:qFormat/>
    <w:uiPriority w:val="0"/>
    <w:rPr>
      <w:rFonts w:hint="default" w:ascii="Arial" w:hAnsi="Arial" w:cs="Arial"/>
      <w:color w:val="21254A"/>
      <w:sz w:val="22"/>
      <w:szCs w:val="22"/>
    </w:rPr>
  </w:style>
  <w:style w:type="character" w:customStyle="1" w:styleId="93">
    <w:name w:val="标题 Char1"/>
    <w:qFormat/>
    <w:uiPriority w:val="10"/>
    <w:rPr>
      <w:rFonts w:ascii="Cambria" w:hAnsi="Cambria" w:eastAsia="宋体" w:cs="Times New Roman"/>
      <w:b/>
      <w:bCs/>
      <w:kern w:val="0"/>
      <w:sz w:val="32"/>
      <w:szCs w:val="32"/>
    </w:rPr>
  </w:style>
  <w:style w:type="character" w:customStyle="1" w:styleId="94">
    <w:name w:val="ca-181"/>
    <w:qFormat/>
    <w:uiPriority w:val="0"/>
    <w:rPr>
      <w:rFonts w:ascii="宋体" w:hAnsi="宋体" w:eastAsia="宋体"/>
      <w:color w:val="000000"/>
      <w:spacing w:val="0"/>
      <w:sz w:val="22"/>
      <w:szCs w:val="24"/>
    </w:rPr>
  </w:style>
  <w:style w:type="character" w:customStyle="1" w:styleId="95">
    <w:name w:val="style91"/>
    <w:qFormat/>
    <w:uiPriority w:val="0"/>
    <w:rPr>
      <w:rFonts w:ascii="Tahoma" w:hAnsi="Tahoma"/>
      <w:sz w:val="24"/>
      <w:szCs w:val="24"/>
    </w:rPr>
  </w:style>
  <w:style w:type="character" w:customStyle="1" w:styleId="96">
    <w:name w:val="正文文本首行缩进 2 字符"/>
    <w:link w:val="45"/>
    <w:qFormat/>
    <w:uiPriority w:val="0"/>
    <w:rPr>
      <w:rFonts w:ascii="宋体" w:hAnsi="Times New Roman" w:eastAsia="宋体" w:cs="Times New Roman"/>
      <w:kern w:val="0"/>
      <w:sz w:val="34"/>
      <w:szCs w:val="24"/>
    </w:rPr>
  </w:style>
  <w:style w:type="character" w:customStyle="1" w:styleId="97">
    <w:name w:val="ca-2"/>
    <w:qFormat/>
    <w:uiPriority w:val="0"/>
    <w:rPr>
      <w:rFonts w:eastAsia="Times New Roman"/>
      <w:kern w:val="0"/>
      <w:sz w:val="20"/>
      <w:szCs w:val="24"/>
      <w:lang w:val="en-US" w:eastAsia="zh-CN"/>
    </w:rPr>
  </w:style>
  <w:style w:type="character" w:customStyle="1" w:styleId="98">
    <w:name w:val="1.1.1样式 Char"/>
    <w:link w:val="99"/>
    <w:qFormat/>
    <w:uiPriority w:val="0"/>
    <w:rPr>
      <w:rFonts w:ascii="宋体" w:hAnsi="宋体" w:eastAsia="宋体"/>
      <w:sz w:val="24"/>
      <w:szCs w:val="24"/>
    </w:rPr>
  </w:style>
  <w:style w:type="paragraph" w:customStyle="1" w:styleId="99">
    <w:name w:val="1.1.1样式"/>
    <w:basedOn w:val="1"/>
    <w:link w:val="98"/>
    <w:qFormat/>
    <w:uiPriority w:val="0"/>
    <w:pPr>
      <w:tabs>
        <w:tab w:val="left" w:pos="720"/>
      </w:tabs>
      <w:spacing w:line="360" w:lineRule="auto"/>
      <w:ind w:left="720" w:hanging="720"/>
    </w:pPr>
    <w:rPr>
      <w:rFonts w:hAnsi="宋体"/>
      <w:sz w:val="24"/>
      <w:szCs w:val="24"/>
    </w:rPr>
  </w:style>
  <w:style w:type="character" w:customStyle="1" w:styleId="100">
    <w:name w:val="表正文 Char1"/>
    <w:qFormat/>
    <w:uiPriority w:val="0"/>
    <w:rPr>
      <w:rFonts w:eastAsia="宋体"/>
      <w:kern w:val="2"/>
      <w:sz w:val="21"/>
      <w:lang w:val="en-US" w:eastAsia="zh-CN" w:bidi="ar-SA"/>
    </w:rPr>
  </w:style>
  <w:style w:type="character" w:customStyle="1" w:styleId="101">
    <w:name w:val="纯文本 字符"/>
    <w:link w:val="25"/>
    <w:qFormat/>
    <w:uiPriority w:val="0"/>
    <w:rPr>
      <w:rFonts w:ascii="宋体" w:hAnsi="Courier New" w:eastAsia="宋体"/>
      <w:sz w:val="24"/>
      <w:szCs w:val="24"/>
    </w:rPr>
  </w:style>
  <w:style w:type="character" w:customStyle="1" w:styleId="102">
    <w:name w:val="页脚 字符"/>
    <w:link w:val="30"/>
    <w:qFormat/>
    <w:uiPriority w:val="0"/>
    <w:rPr>
      <w:sz w:val="18"/>
      <w:szCs w:val="18"/>
    </w:rPr>
  </w:style>
  <w:style w:type="character" w:customStyle="1" w:styleId="103">
    <w:name w:val="text1"/>
    <w:qFormat/>
    <w:uiPriority w:val="0"/>
    <w:rPr>
      <w:rFonts w:eastAsia="Times New Roman"/>
      <w:kern w:val="0"/>
      <w:sz w:val="20"/>
      <w:szCs w:val="24"/>
      <w:lang w:val="en-US" w:eastAsia="zh-CN"/>
    </w:rPr>
  </w:style>
  <w:style w:type="character" w:customStyle="1" w:styleId="104">
    <w:name w:val="样式1 Char"/>
    <w:link w:val="105"/>
    <w:qFormat/>
    <w:uiPriority w:val="0"/>
    <w:rPr>
      <w:rFonts w:ascii="宋体" w:hAnsi="宋体" w:eastAsia="宋体"/>
      <w:b/>
      <w:sz w:val="24"/>
    </w:rPr>
  </w:style>
  <w:style w:type="paragraph" w:customStyle="1" w:styleId="105">
    <w:name w:val="样式1"/>
    <w:basedOn w:val="1"/>
    <w:link w:val="104"/>
    <w:qFormat/>
    <w:uiPriority w:val="0"/>
    <w:pPr>
      <w:spacing w:before="120" w:after="120" w:line="300" w:lineRule="auto"/>
    </w:pPr>
    <w:rPr>
      <w:rFonts w:hAnsi="宋体"/>
      <w:b/>
      <w:sz w:val="24"/>
    </w:rPr>
  </w:style>
  <w:style w:type="character" w:customStyle="1" w:styleId="106">
    <w:name w:val="正文文字首行缩进 Char"/>
    <w:qFormat/>
    <w:uiPriority w:val="0"/>
    <w:rPr>
      <w:rFonts w:ascii="Times New Roman" w:hAnsi="Times New Roman" w:eastAsia="宋体" w:cs="Times New Roman"/>
      <w:kern w:val="0"/>
      <w:sz w:val="32"/>
      <w:szCs w:val="20"/>
      <w:lang w:val="en-US" w:eastAsia="zh-CN"/>
    </w:rPr>
  </w:style>
  <w:style w:type="character" w:customStyle="1" w:styleId="107">
    <w:name w:val="标题 7 字符"/>
    <w:link w:val="10"/>
    <w:qFormat/>
    <w:uiPriority w:val="0"/>
    <w:rPr>
      <w:rFonts w:ascii="宋体" w:hAnsi="Times New Roman" w:eastAsia="宋体" w:cs="Times New Roman"/>
      <w:b/>
      <w:kern w:val="0"/>
      <w:sz w:val="24"/>
      <w:szCs w:val="20"/>
    </w:rPr>
  </w:style>
  <w:style w:type="character" w:customStyle="1" w:styleId="108">
    <w:name w:val="页眉 字符"/>
    <w:link w:val="31"/>
    <w:qFormat/>
    <w:uiPriority w:val="0"/>
    <w:rPr>
      <w:sz w:val="18"/>
      <w:szCs w:val="18"/>
    </w:rPr>
  </w:style>
  <w:style w:type="character" w:customStyle="1" w:styleId="109">
    <w:name w:val="纯文本 Char1"/>
    <w:qFormat/>
    <w:uiPriority w:val="0"/>
    <w:rPr>
      <w:rFonts w:ascii="宋体" w:hAnsi="Courier New"/>
      <w:kern w:val="2"/>
      <w:sz w:val="21"/>
      <w:szCs w:val="24"/>
    </w:rPr>
  </w:style>
  <w:style w:type="character" w:customStyle="1" w:styleId="110">
    <w:name w:val="正文文本 字符"/>
    <w:link w:val="2"/>
    <w:qFormat/>
    <w:uiPriority w:val="0"/>
    <w:rPr>
      <w:rFonts w:ascii="宋体" w:hAnsi="Times New Roman" w:eastAsia="宋体" w:cs="Times New Roman"/>
      <w:kern w:val="0"/>
      <w:sz w:val="34"/>
      <w:szCs w:val="20"/>
    </w:rPr>
  </w:style>
  <w:style w:type="character" w:customStyle="1" w:styleId="111">
    <w:name w:val="h3 Char"/>
    <w:qFormat/>
    <w:uiPriority w:val="0"/>
    <w:rPr>
      <w:rFonts w:ascii="Tahoma" w:hAnsi="Tahoma" w:eastAsia="宋体"/>
      <w:kern w:val="2"/>
      <w:sz w:val="24"/>
      <w:szCs w:val="24"/>
      <w:lang w:val="en-US" w:eastAsia="zh-CN" w:bidi="ar-SA"/>
    </w:rPr>
  </w:style>
  <w:style w:type="character" w:customStyle="1" w:styleId="112">
    <w:name w:val="纯文本 Char2"/>
    <w:semiHidden/>
    <w:qFormat/>
    <w:uiPriority w:val="99"/>
    <w:rPr>
      <w:rFonts w:ascii="宋体" w:hAnsi="Courier New" w:eastAsia="宋体" w:cs="Courier New"/>
      <w:kern w:val="0"/>
      <w:szCs w:val="21"/>
    </w:rPr>
  </w:style>
  <w:style w:type="character" w:customStyle="1" w:styleId="113">
    <w:name w:val="ca-131"/>
    <w:qFormat/>
    <w:uiPriority w:val="0"/>
    <w:rPr>
      <w:rFonts w:ascii="宋体" w:hAnsi="宋体" w:eastAsia="宋体"/>
      <w:sz w:val="24"/>
      <w:szCs w:val="24"/>
    </w:rPr>
  </w:style>
  <w:style w:type="character" w:customStyle="1" w:styleId="114">
    <w:name w:val="正文文本首行缩进 字符"/>
    <w:link w:val="44"/>
    <w:qFormat/>
    <w:uiPriority w:val="0"/>
    <w:rPr>
      <w:rFonts w:ascii="宋体" w:hAnsi="Times New Roman" w:eastAsia="宋体" w:cs="Times New Roman"/>
      <w:kern w:val="0"/>
      <w:sz w:val="34"/>
      <w:szCs w:val="20"/>
    </w:rPr>
  </w:style>
  <w:style w:type="character" w:customStyle="1" w:styleId="115">
    <w:name w:val="文档结构图 字符"/>
    <w:link w:val="15"/>
    <w:qFormat/>
    <w:uiPriority w:val="0"/>
    <w:rPr>
      <w:rFonts w:ascii="宋体" w:hAnsi="Times New Roman" w:eastAsia="宋体" w:cs="Times New Roman"/>
      <w:kern w:val="0"/>
      <w:sz w:val="18"/>
      <w:szCs w:val="18"/>
    </w:rPr>
  </w:style>
  <w:style w:type="character" w:customStyle="1" w:styleId="116">
    <w:name w:val="正文文本缩进 Char1"/>
    <w:semiHidden/>
    <w:qFormat/>
    <w:uiPriority w:val="99"/>
    <w:rPr>
      <w:rFonts w:ascii="宋体" w:hAnsi="Times New Roman" w:eastAsia="宋体" w:cs="Times New Roman"/>
      <w:kern w:val="0"/>
      <w:sz w:val="34"/>
      <w:szCs w:val="20"/>
    </w:rPr>
  </w:style>
  <w:style w:type="character" w:customStyle="1" w:styleId="117">
    <w:name w:val="标题 3 字符"/>
    <w:link w:val="5"/>
    <w:qFormat/>
    <w:uiPriority w:val="0"/>
    <w:rPr>
      <w:rFonts w:ascii="Tahoma" w:hAnsi="Tahoma" w:eastAsia="宋体" w:cs="Times New Roman"/>
      <w:b/>
      <w:bCs/>
      <w:sz w:val="32"/>
      <w:szCs w:val="32"/>
    </w:rPr>
  </w:style>
  <w:style w:type="character" w:customStyle="1" w:styleId="118">
    <w:name w:val="style181"/>
    <w:qFormat/>
    <w:uiPriority w:val="0"/>
    <w:rPr>
      <w:rFonts w:ascii="Tahoma" w:hAnsi="Tahoma"/>
      <w:sz w:val="18"/>
      <w:szCs w:val="18"/>
    </w:rPr>
  </w:style>
  <w:style w:type="character" w:customStyle="1" w:styleId="119">
    <w:name w:val="正文文本缩进 3 字符"/>
    <w:link w:val="36"/>
    <w:qFormat/>
    <w:uiPriority w:val="0"/>
    <w:rPr>
      <w:rFonts w:ascii="宋体" w:hAnsi="Times New Roman" w:eastAsia="楷体" w:cs="Times New Roman"/>
      <w:kern w:val="0"/>
      <w:sz w:val="24"/>
      <w:szCs w:val="20"/>
    </w:rPr>
  </w:style>
  <w:style w:type="character" w:customStyle="1" w:styleId="120">
    <w:name w:val="正文缩进 字符"/>
    <w:link w:val="6"/>
    <w:qFormat/>
    <w:uiPriority w:val="0"/>
    <w:rPr>
      <w:rFonts w:eastAsia="宋体"/>
    </w:rPr>
  </w:style>
  <w:style w:type="character" w:customStyle="1" w:styleId="121">
    <w:name w:val="img1"/>
    <w:basedOn w:val="48"/>
    <w:qFormat/>
    <w:uiPriority w:val="0"/>
  </w:style>
  <w:style w:type="character" w:customStyle="1" w:styleId="122">
    <w:name w:val="unnamed31"/>
    <w:qFormat/>
    <w:uiPriority w:val="0"/>
    <w:rPr>
      <w:rFonts w:ascii="Tahoma" w:hAnsi="Tahoma"/>
      <w:sz w:val="22"/>
      <w:szCs w:val="22"/>
    </w:rPr>
  </w:style>
  <w:style w:type="character" w:customStyle="1" w:styleId="123">
    <w:name w:val="PI Char"/>
    <w:qFormat/>
    <w:uiPriority w:val="0"/>
    <w:rPr>
      <w:rFonts w:ascii="楷体_GB2312" w:hAnsi="宋体" w:eastAsia="楷体_GB2312"/>
      <w:sz w:val="28"/>
      <w:szCs w:val="28"/>
      <w:lang w:val="en-US" w:eastAsia="zh-CN" w:bidi="ar-SA"/>
    </w:rPr>
  </w:style>
  <w:style w:type="character" w:customStyle="1" w:styleId="124">
    <w:name w:val="Char Char3"/>
    <w:qFormat/>
    <w:uiPriority w:val="0"/>
    <w:rPr>
      <w:rFonts w:ascii="宋体" w:hAnsi="Tahoma"/>
      <w:kern w:val="2"/>
      <w:sz w:val="18"/>
      <w:szCs w:val="18"/>
    </w:rPr>
  </w:style>
  <w:style w:type="character" w:customStyle="1" w:styleId="125">
    <w:name w:val="正文缩进 Char1"/>
    <w:qFormat/>
    <w:uiPriority w:val="0"/>
    <w:rPr>
      <w:rFonts w:eastAsia="宋体"/>
      <w:kern w:val="2"/>
      <w:sz w:val="21"/>
      <w:lang w:val="en-US" w:eastAsia="zh-CN" w:bidi="ar-SA"/>
    </w:rPr>
  </w:style>
  <w:style w:type="character" w:customStyle="1" w:styleId="126">
    <w:name w:val="纯文本 Char Char1"/>
    <w:qFormat/>
    <w:uiPriority w:val="0"/>
    <w:rPr>
      <w:rFonts w:ascii="宋体" w:hAnsi="Tms Rmn" w:eastAsia="宋体" w:cs="宋体"/>
      <w:sz w:val="21"/>
      <w:szCs w:val="21"/>
      <w:lang w:val="en-US" w:eastAsia="zh-CN" w:bidi="ar-SA"/>
    </w:rPr>
  </w:style>
  <w:style w:type="character" w:customStyle="1" w:styleId="127">
    <w:name w:val="maywed421"/>
    <w:qFormat/>
    <w:uiPriority w:val="0"/>
    <w:rPr>
      <w:rFonts w:ascii="Tahoma" w:hAnsi="Tahoma"/>
      <w:color w:val="366FB6"/>
      <w:sz w:val="24"/>
      <w:szCs w:val="24"/>
      <w:u w:val="none"/>
    </w:rPr>
  </w:style>
  <w:style w:type="character" w:customStyle="1" w:styleId="128">
    <w:name w:val="font81"/>
    <w:qFormat/>
    <w:uiPriority w:val="0"/>
    <w:rPr>
      <w:rFonts w:hint="default" w:ascii="Times New Roman" w:hAnsi="Times New Roman" w:cs="Times New Roman"/>
      <w:color w:val="000000"/>
      <w:sz w:val="28"/>
      <w:szCs w:val="28"/>
      <w:u w:val="none"/>
    </w:rPr>
  </w:style>
  <w:style w:type="character" w:customStyle="1" w:styleId="129">
    <w:name w:val="标题 2 Char"/>
    <w:qFormat/>
    <w:uiPriority w:val="0"/>
    <w:rPr>
      <w:rFonts w:ascii="Cambria" w:hAnsi="Cambria" w:eastAsia="宋体" w:cs="Times New Roman"/>
      <w:b/>
      <w:bCs/>
      <w:kern w:val="0"/>
      <w:sz w:val="32"/>
      <w:szCs w:val="32"/>
    </w:rPr>
  </w:style>
  <w:style w:type="character" w:customStyle="1" w:styleId="130">
    <w:name w:val="列表段落 字符"/>
    <w:link w:val="131"/>
    <w:qFormat/>
    <w:uiPriority w:val="0"/>
    <w:rPr>
      <w:rFonts w:ascii="Calibri" w:hAnsi="Calibri" w:eastAsia="宋体"/>
    </w:rPr>
  </w:style>
  <w:style w:type="paragraph" w:styleId="131">
    <w:name w:val="List Paragraph"/>
    <w:basedOn w:val="1"/>
    <w:next w:val="25"/>
    <w:link w:val="130"/>
    <w:qFormat/>
    <w:uiPriority w:val="0"/>
    <w:pPr>
      <w:ind w:firstLine="420" w:firstLineChars="200"/>
    </w:pPr>
    <w:rPr>
      <w:rFonts w:ascii="Calibri"/>
      <w:sz w:val="20"/>
    </w:rPr>
  </w:style>
  <w:style w:type="character" w:customStyle="1" w:styleId="132">
    <w:name w:val="Char Char7"/>
    <w:qFormat/>
    <w:uiPriority w:val="0"/>
    <w:rPr>
      <w:rFonts w:ascii="宋体" w:hAnsi="Courier New" w:eastAsia="宋体"/>
      <w:kern w:val="2"/>
      <w:sz w:val="24"/>
      <w:lang w:val="en-US" w:eastAsia="zh-CN" w:bidi="ar-SA"/>
    </w:rPr>
  </w:style>
  <w:style w:type="character" w:customStyle="1" w:styleId="133">
    <w:name w:val="标题 3 Char Char Char"/>
    <w:qFormat/>
    <w:uiPriority w:val="0"/>
    <w:rPr>
      <w:rFonts w:ascii="Tahoma" w:hAnsi="Tahoma" w:eastAsia="宋体"/>
      <w:b/>
      <w:kern w:val="2"/>
      <w:sz w:val="32"/>
      <w:szCs w:val="24"/>
      <w:lang w:val="en-US" w:eastAsia="zh-CN" w:bidi="ar-SA"/>
    </w:rPr>
  </w:style>
  <w:style w:type="character" w:customStyle="1" w:styleId="134">
    <w:name w:val="Plain Text Char"/>
    <w:qFormat/>
    <w:locked/>
    <w:uiPriority w:val="0"/>
    <w:rPr>
      <w:rFonts w:ascii="宋体" w:hAnsi="Courier New" w:eastAsia="宋体" w:cs="Courier New"/>
      <w:kern w:val="2"/>
      <w:sz w:val="21"/>
      <w:szCs w:val="21"/>
      <w:lang w:val="en-US" w:eastAsia="zh-CN" w:bidi="ar-SA"/>
    </w:rPr>
  </w:style>
  <w:style w:type="character" w:customStyle="1" w:styleId="135">
    <w:name w:val="Heading 2 Hidden Char"/>
    <w:qFormat/>
    <w:uiPriority w:val="0"/>
    <w:rPr>
      <w:rFonts w:ascii="Arial" w:hAnsi="Arial" w:eastAsia="黑体"/>
      <w:b/>
      <w:bCs/>
      <w:kern w:val="2"/>
      <w:sz w:val="32"/>
      <w:szCs w:val="32"/>
      <w:lang w:val="en-US" w:eastAsia="zh-CN" w:bidi="ar-SA"/>
    </w:rPr>
  </w:style>
  <w:style w:type="character" w:customStyle="1" w:styleId="136">
    <w:name w:val="img"/>
    <w:basedOn w:val="48"/>
    <w:qFormat/>
    <w:uiPriority w:val="0"/>
  </w:style>
  <w:style w:type="character" w:customStyle="1" w:styleId="137">
    <w:name w:val="标题 字符"/>
    <w:link w:val="42"/>
    <w:qFormat/>
    <w:uiPriority w:val="0"/>
    <w:rPr>
      <w:rFonts w:ascii="宋体" w:eastAsia="Times New Roman"/>
      <w:kern w:val="0"/>
      <w:sz w:val="30"/>
      <w:szCs w:val="24"/>
      <w:lang w:val="en-US" w:eastAsia="zh-CN"/>
    </w:rPr>
  </w:style>
  <w:style w:type="character" w:customStyle="1" w:styleId="138">
    <w:name w:val="Balloon Text Char"/>
    <w:semiHidden/>
    <w:qFormat/>
    <w:locked/>
    <w:uiPriority w:val="0"/>
    <w:rPr>
      <w:rFonts w:ascii="Times New Roman" w:hAnsi="Times New Roman" w:eastAsia="宋体" w:cs="Times New Roman"/>
      <w:sz w:val="18"/>
      <w:szCs w:val="18"/>
    </w:rPr>
  </w:style>
  <w:style w:type="character" w:customStyle="1" w:styleId="139">
    <w:name w:val="正文文本缩进 字符"/>
    <w:link w:val="20"/>
    <w:qFormat/>
    <w:locked/>
    <w:uiPriority w:val="0"/>
    <w:rPr>
      <w:rFonts w:eastAsia="宋体"/>
      <w:sz w:val="32"/>
    </w:rPr>
  </w:style>
  <w:style w:type="character" w:customStyle="1" w:styleId="140">
    <w:name w:val="标题 2 字符"/>
    <w:link w:val="4"/>
    <w:qFormat/>
    <w:uiPriority w:val="0"/>
    <w:rPr>
      <w:rFonts w:ascii="Arial" w:hAnsi="Arial" w:eastAsia="黑体" w:cs="Times New Roman"/>
      <w:b/>
      <w:bCs/>
      <w:sz w:val="32"/>
      <w:szCs w:val="32"/>
    </w:rPr>
  </w:style>
  <w:style w:type="character" w:customStyle="1" w:styleId="141">
    <w:name w:val="批注框文本 字符"/>
    <w:link w:val="29"/>
    <w:qFormat/>
    <w:uiPriority w:val="0"/>
    <w:rPr>
      <w:rFonts w:ascii="宋体" w:hAnsi="Times New Roman" w:eastAsia="宋体" w:cs="Times New Roman"/>
      <w:kern w:val="0"/>
      <w:sz w:val="18"/>
      <w:szCs w:val="18"/>
    </w:rPr>
  </w:style>
  <w:style w:type="character" w:customStyle="1" w:styleId="142">
    <w:name w:val="Char Char8"/>
    <w:qFormat/>
    <w:uiPriority w:val="0"/>
    <w:rPr>
      <w:rFonts w:ascii="宋体"/>
      <w:kern w:val="2"/>
      <w:sz w:val="18"/>
      <w:szCs w:val="18"/>
    </w:rPr>
  </w:style>
  <w:style w:type="character" w:customStyle="1" w:styleId="143">
    <w:name w:val="日期 Char1"/>
    <w:semiHidden/>
    <w:qFormat/>
    <w:uiPriority w:val="99"/>
    <w:rPr>
      <w:rFonts w:ascii="宋体" w:hAnsi="Times New Roman" w:eastAsia="宋体" w:cs="Times New Roman"/>
      <w:kern w:val="0"/>
      <w:sz w:val="34"/>
      <w:szCs w:val="20"/>
    </w:rPr>
  </w:style>
  <w:style w:type="paragraph" w:customStyle="1" w:styleId="144">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szCs w:val="21"/>
    </w:rPr>
  </w:style>
  <w:style w:type="paragraph" w:customStyle="1" w:styleId="145">
    <w:name w:val="Char2"/>
    <w:basedOn w:val="1"/>
    <w:qFormat/>
    <w:uiPriority w:val="0"/>
  </w:style>
  <w:style w:type="paragraph" w:customStyle="1" w:styleId="146">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jc w:val="right"/>
      <w:textAlignment w:val="center"/>
    </w:pPr>
    <w:rPr>
      <w:szCs w:val="21"/>
    </w:rPr>
  </w:style>
  <w:style w:type="paragraph" w:customStyle="1" w:styleId="147">
    <w:name w:val="正文序号 1"/>
    <w:basedOn w:val="1"/>
    <w:qFormat/>
    <w:uiPriority w:val="0"/>
    <w:pPr>
      <w:spacing w:before="60"/>
    </w:pPr>
  </w:style>
  <w:style w:type="paragraph" w:customStyle="1" w:styleId="148">
    <w:name w:val="xl65"/>
    <w:basedOn w:val="1"/>
    <w:qFormat/>
    <w:uiPriority w:val="0"/>
    <w:pPr>
      <w:widowControl/>
      <w:pBdr>
        <w:bottom w:val="single" w:color="000000" w:sz="4" w:space="0"/>
        <w:right w:val="single" w:color="auto" w:sz="8" w:space="0"/>
      </w:pBdr>
      <w:spacing w:before="100" w:beforeAutospacing="1" w:after="100" w:afterAutospacing="1"/>
      <w:jc w:val="left"/>
      <w:textAlignment w:val="center"/>
    </w:pPr>
    <w:rPr>
      <w:color w:val="FFFFFF"/>
      <w:szCs w:val="21"/>
    </w:rPr>
  </w:style>
  <w:style w:type="paragraph" w:customStyle="1" w:styleId="149">
    <w:name w:val="菲页2"/>
    <w:basedOn w:val="5"/>
    <w:qFormat/>
    <w:uiPriority w:val="0"/>
    <w:pPr>
      <w:widowControl/>
      <w:tabs>
        <w:tab w:val="left" w:pos="1000"/>
      </w:tabs>
      <w:spacing w:before="120" w:after="120" w:line="360" w:lineRule="auto"/>
      <w:ind w:left="1000" w:hanging="1000"/>
      <w:jc w:val="center"/>
    </w:pPr>
    <w:rPr>
      <w:rFonts w:ascii="黑体" w:hAnsi="宋体" w:eastAsia="黑体"/>
      <w:b w:val="0"/>
      <w:bCs w:val="0"/>
      <w:sz w:val="44"/>
      <w:szCs w:val="20"/>
    </w:rPr>
  </w:style>
  <w:style w:type="paragraph" w:customStyle="1" w:styleId="1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sz w:val="20"/>
    </w:rPr>
  </w:style>
  <w:style w:type="paragraph" w:customStyle="1" w:styleId="151">
    <w:name w:val="列出段落1"/>
    <w:qFormat/>
    <w:uiPriority w:val="0"/>
    <w:pPr>
      <w:ind w:firstLine="420" w:firstLineChars="200"/>
    </w:pPr>
    <w:rPr>
      <w:rFonts w:ascii="Calibri" w:hAnsi="Calibri" w:eastAsia="宋体" w:cs="Times New Roman"/>
      <w:lang w:val="en-US" w:eastAsia="zh-CN" w:bidi="ar-SA"/>
    </w:rPr>
  </w:style>
  <w:style w:type="paragraph" w:customStyle="1" w:styleId="152">
    <w:name w:val="标题6"/>
    <w:basedOn w:val="9"/>
    <w:qFormat/>
    <w:uiPriority w:val="0"/>
    <w:pPr>
      <w:tabs>
        <w:tab w:val="right" w:leader="dot" w:pos="9061"/>
      </w:tabs>
      <w:adjustRightInd/>
      <w:spacing w:line="319" w:lineRule="auto"/>
      <w:jc w:val="center"/>
      <w:textAlignment w:val="auto"/>
    </w:pPr>
    <w:rPr>
      <w:rFonts w:ascii="宋体" w:eastAsia="宋体"/>
      <w:kern w:val="2"/>
      <w:sz w:val="21"/>
    </w:rPr>
  </w:style>
  <w:style w:type="paragraph" w:customStyle="1" w:styleId="15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0"/>
    </w:rPr>
  </w:style>
  <w:style w:type="paragraph" w:customStyle="1" w:styleId="154">
    <w:name w:val="样式 行距: 固定值 25 磅 首行缩进:  2 字符"/>
    <w:basedOn w:val="1"/>
    <w:qFormat/>
    <w:uiPriority w:val="0"/>
    <w:pPr>
      <w:adjustRightInd w:val="0"/>
      <w:spacing w:line="500" w:lineRule="exact"/>
      <w:ind w:firstLine="560" w:firstLineChars="200"/>
      <w:textAlignment w:val="baseline"/>
    </w:pPr>
    <w:rPr>
      <w:sz w:val="28"/>
      <w:szCs w:val="28"/>
    </w:rPr>
  </w:style>
  <w:style w:type="paragraph" w:customStyle="1" w:styleId="155">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textAlignment w:val="center"/>
    </w:pPr>
    <w:rPr>
      <w:rFonts w:hAnsi="宋体"/>
      <w:sz w:val="18"/>
      <w:szCs w:val="18"/>
    </w:rPr>
  </w:style>
  <w:style w:type="paragraph" w:customStyle="1" w:styleId="156">
    <w:name w:val="标题4"/>
    <w:basedOn w:val="7"/>
    <w:qFormat/>
    <w:uiPriority w:val="0"/>
    <w:pPr>
      <w:adjustRightInd/>
      <w:spacing w:before="140" w:after="0" w:line="240" w:lineRule="auto"/>
      <w:jc w:val="center"/>
      <w:textAlignment w:val="auto"/>
    </w:pPr>
    <w:rPr>
      <w:rFonts w:ascii="黑体" w:hAnsi="宋体" w:eastAsia="宋体"/>
      <w:kern w:val="2"/>
      <w:sz w:val="32"/>
    </w:rPr>
  </w:style>
  <w:style w:type="paragraph" w:customStyle="1" w:styleId="157">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rPr>
      <w:rFonts w:hAnsi="宋体"/>
      <w:szCs w:val="21"/>
    </w:rPr>
  </w:style>
  <w:style w:type="paragraph" w:customStyle="1" w:styleId="158">
    <w:name w:val="Char Char Char Char"/>
    <w:basedOn w:val="1"/>
    <w:qFormat/>
    <w:uiPriority w:val="0"/>
    <w:rPr>
      <w:rFonts w:ascii="Tahoma" w:hAnsi="Tahoma"/>
      <w:sz w:val="24"/>
    </w:rPr>
  </w:style>
  <w:style w:type="paragraph" w:customStyle="1" w:styleId="159">
    <w:name w:val="LJT正文"/>
    <w:basedOn w:val="20"/>
    <w:qFormat/>
    <w:uiPriority w:val="0"/>
    <w:pPr>
      <w:spacing w:before="120"/>
      <w:ind w:left="420" w:firstLine="425"/>
    </w:pPr>
    <w:rPr>
      <w:rFonts w:ascii="Arial" w:hAnsi="Arial"/>
      <w:sz w:val="24"/>
    </w:rPr>
  </w:style>
  <w:style w:type="paragraph" w:customStyle="1" w:styleId="160">
    <w:name w:val="正文列项_数字"/>
    <w:qFormat/>
    <w:uiPriority w:val="0"/>
    <w:pPr>
      <w:numPr>
        <w:ilvl w:val="7"/>
        <w:numId w:val="3"/>
      </w:numPr>
      <w:spacing w:line="460" w:lineRule="exact"/>
    </w:pPr>
    <w:rPr>
      <w:rFonts w:ascii="Times New Roman" w:hAnsi="Times New Roman" w:eastAsia="宋体" w:cs="Times New Roman"/>
      <w:sz w:val="28"/>
      <w:lang w:val="en-US" w:eastAsia="zh-CN" w:bidi="ar-SA"/>
    </w:rPr>
  </w:style>
  <w:style w:type="paragraph" w:customStyle="1" w:styleId="161">
    <w:name w:val="默认段落字体 Para Char Char Char Char Char Char Char Char Char1 Char Char Char Char"/>
    <w:basedOn w:val="1"/>
    <w:qFormat/>
    <w:uiPriority w:val="0"/>
    <w:rPr>
      <w:rFonts w:ascii="Tahoma" w:hAnsi="Tahoma"/>
      <w:sz w:val="24"/>
    </w:rPr>
  </w:style>
  <w:style w:type="paragraph" w:customStyle="1" w:styleId="162">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jc w:val="right"/>
      <w:textAlignment w:val="center"/>
    </w:pPr>
    <w:rPr>
      <w:szCs w:val="21"/>
    </w:rPr>
  </w:style>
  <w:style w:type="paragraph" w:customStyle="1" w:styleId="163">
    <w:name w:val="Char11"/>
    <w:basedOn w:val="1"/>
    <w:qFormat/>
    <w:uiPriority w:val="0"/>
    <w:rPr>
      <w:rFonts w:ascii="仿宋_GB2312" w:eastAsia="仿宋_GB2312"/>
      <w:b/>
      <w:sz w:val="32"/>
      <w:szCs w:val="32"/>
    </w:rPr>
  </w:style>
  <w:style w:type="paragraph" w:customStyle="1" w:styleId="164">
    <w:name w:val="Char Char1 Char Char Char Char Char Char Char Char Char Char"/>
    <w:basedOn w:val="1"/>
    <w:qFormat/>
    <w:uiPriority w:val="0"/>
    <w:pPr>
      <w:tabs>
        <w:tab w:val="left" w:pos="360"/>
      </w:tabs>
      <w:ind w:firstLine="420" w:firstLineChars="150"/>
    </w:pPr>
    <w:rPr>
      <w:rFonts w:ascii="Arial" w:hAnsi="Arial" w:cs="Arial"/>
      <w:sz w:val="20"/>
    </w:rPr>
  </w:style>
  <w:style w:type="paragraph" w:customStyle="1" w:styleId="165">
    <w:name w:val="table head"/>
    <w:basedOn w:val="1"/>
    <w:qFormat/>
    <w:uiPriority w:val="0"/>
    <w:pPr>
      <w:keepNext/>
      <w:keepLines/>
      <w:adjustRightInd w:val="0"/>
      <w:spacing w:line="312" w:lineRule="atLeast"/>
      <w:jc w:val="center"/>
      <w:textAlignment w:val="baseline"/>
    </w:pPr>
    <w:rPr>
      <w:b/>
    </w:rPr>
  </w:style>
  <w:style w:type="paragraph" w:customStyle="1" w:styleId="166">
    <w:name w:val="二级条标题"/>
    <w:next w:val="167"/>
    <w:qFormat/>
    <w:uiPriority w:val="0"/>
    <w:pPr>
      <w:numPr>
        <w:ilvl w:val="2"/>
        <w:numId w:val="4"/>
      </w:numPr>
      <w:spacing w:line="460" w:lineRule="exact"/>
      <w:outlineLvl w:val="2"/>
    </w:pPr>
    <w:rPr>
      <w:rFonts w:ascii="黑体" w:hAnsi="Times New Roman" w:eastAsia="黑体" w:cs="Times New Roman"/>
      <w:sz w:val="28"/>
      <w:lang w:val="en-US" w:eastAsia="zh-CN" w:bidi="ar-SA"/>
    </w:rPr>
  </w:style>
  <w:style w:type="paragraph" w:customStyle="1" w:styleId="167">
    <w:name w:val="段"/>
    <w:next w:val="1"/>
    <w:qFormat/>
    <w:uiPriority w:val="0"/>
    <w:pPr>
      <w:widowControl w:val="0"/>
      <w:autoSpaceDE w:val="0"/>
      <w:autoSpaceDN w:val="0"/>
      <w:spacing w:line="460" w:lineRule="exact"/>
      <w:ind w:firstLine="200" w:firstLineChars="200"/>
      <w:jc w:val="both"/>
    </w:pPr>
    <w:rPr>
      <w:rFonts w:ascii="Times New Roman" w:hAnsi="Times New Roman" w:eastAsia="宋体" w:cs="Times New Roman"/>
      <w:sz w:val="28"/>
      <w:szCs w:val="28"/>
      <w:lang w:val="en-US" w:eastAsia="zh-CN" w:bidi="ar-SA"/>
    </w:rPr>
  </w:style>
  <w:style w:type="paragraph" w:customStyle="1" w:styleId="16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169">
    <w:name w:val="font8"/>
    <w:basedOn w:val="1"/>
    <w:qFormat/>
    <w:uiPriority w:val="0"/>
    <w:pPr>
      <w:widowControl/>
      <w:spacing w:before="100" w:beforeAutospacing="1" w:after="100" w:afterAutospacing="1"/>
      <w:jc w:val="left"/>
    </w:pPr>
    <w:rPr>
      <w:sz w:val="36"/>
      <w:szCs w:val="36"/>
    </w:rPr>
  </w:style>
  <w:style w:type="paragraph" w:customStyle="1" w:styleId="170">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szCs w:val="21"/>
    </w:rPr>
  </w:style>
  <w:style w:type="paragraph" w:customStyle="1" w:styleId="171">
    <w:name w:val="Char2 Char Char Char1"/>
    <w:basedOn w:val="1"/>
    <w:qFormat/>
    <w:uiPriority w:val="0"/>
    <w:pPr>
      <w:widowControl/>
      <w:jc w:val="left"/>
    </w:pPr>
    <w:rPr>
      <w:rFonts w:ascii="仿宋_GB2312" w:eastAsia="仿宋_GB2312"/>
      <w:b/>
      <w:sz w:val="32"/>
      <w:szCs w:val="32"/>
    </w:rPr>
  </w:style>
  <w:style w:type="paragraph" w:customStyle="1" w:styleId="172">
    <w:name w:val="Char Char"/>
    <w:basedOn w:val="1"/>
    <w:qFormat/>
    <w:uiPriority w:val="0"/>
    <w:rPr>
      <w:szCs w:val="24"/>
    </w:rPr>
  </w:style>
  <w:style w:type="paragraph" w:customStyle="1" w:styleId="173">
    <w:name w:val="Table Paragraph"/>
    <w:basedOn w:val="1"/>
    <w:qFormat/>
    <w:uiPriority w:val="1"/>
    <w:pPr>
      <w:jc w:val="center"/>
    </w:pPr>
    <w:rPr>
      <w:rFonts w:hAnsi="宋体" w:cs="宋体"/>
      <w:lang w:val="zh-CN" w:bidi="zh-CN"/>
    </w:rPr>
  </w:style>
  <w:style w:type="paragraph" w:customStyle="1" w:styleId="174">
    <w:name w:val="font7"/>
    <w:basedOn w:val="1"/>
    <w:qFormat/>
    <w:uiPriority w:val="0"/>
    <w:pPr>
      <w:widowControl/>
      <w:spacing w:before="100" w:beforeAutospacing="1" w:after="100" w:afterAutospacing="1"/>
      <w:jc w:val="left"/>
    </w:pPr>
    <w:rPr>
      <w:rFonts w:eastAsia="Arial Unicode MS"/>
      <w:b/>
      <w:bCs/>
      <w:color w:val="000000"/>
      <w:sz w:val="20"/>
    </w:rPr>
  </w:style>
  <w:style w:type="paragraph" w:customStyle="1" w:styleId="175">
    <w:name w:val="纯文本1"/>
    <w:basedOn w:val="1"/>
    <w:qFormat/>
    <w:uiPriority w:val="0"/>
    <w:pPr>
      <w:adjustRightInd w:val="0"/>
      <w:textAlignment w:val="baseline"/>
    </w:pPr>
    <w:rPr>
      <w:rFonts w:hAnsi="Courier New"/>
    </w:rPr>
  </w:style>
  <w:style w:type="paragraph" w:customStyle="1" w:styleId="176">
    <w:name w:val="font5"/>
    <w:basedOn w:val="1"/>
    <w:qFormat/>
    <w:uiPriority w:val="0"/>
    <w:pPr>
      <w:widowControl/>
      <w:spacing w:before="100" w:beforeAutospacing="1" w:after="100" w:afterAutospacing="1"/>
      <w:jc w:val="left"/>
    </w:pPr>
    <w:rPr>
      <w:rFonts w:hAnsi="宋体" w:cs="宋体"/>
      <w:sz w:val="18"/>
      <w:szCs w:val="18"/>
    </w:rPr>
  </w:style>
  <w:style w:type="paragraph" w:customStyle="1" w:styleId="177">
    <w:name w:val="plaintext"/>
    <w:basedOn w:val="1"/>
    <w:qFormat/>
    <w:uiPriority w:val="0"/>
    <w:pPr>
      <w:widowControl/>
      <w:spacing w:before="100" w:beforeAutospacing="1" w:after="100" w:afterAutospacing="1"/>
      <w:jc w:val="left"/>
    </w:pPr>
    <w:rPr>
      <w:rFonts w:hAnsi="宋体"/>
      <w:sz w:val="24"/>
      <w:szCs w:val="24"/>
    </w:rPr>
  </w:style>
  <w:style w:type="paragraph" w:customStyle="1" w:styleId="178">
    <w:name w:val="标题3"/>
    <w:basedOn w:val="5"/>
    <w:qFormat/>
    <w:uiPriority w:val="0"/>
    <w:rPr>
      <w:rFonts w:ascii="宋体" w:hAnsi="宋体"/>
      <w:sz w:val="28"/>
      <w:szCs w:val="28"/>
    </w:rPr>
  </w:style>
  <w:style w:type="paragraph" w:customStyle="1" w:styleId="179">
    <w:name w:val="目录文字"/>
    <w:basedOn w:val="1"/>
    <w:qFormat/>
    <w:uiPriority w:val="0"/>
    <w:pPr>
      <w:widowControl/>
      <w:spacing w:line="480" w:lineRule="auto"/>
      <w:jc w:val="left"/>
    </w:pPr>
    <w:rPr>
      <w:rFonts w:hAnsi="宋体"/>
      <w:sz w:val="24"/>
    </w:rPr>
  </w:style>
  <w:style w:type="paragraph" w:customStyle="1" w:styleId="18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181">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szCs w:val="21"/>
    </w:rPr>
  </w:style>
  <w:style w:type="paragraph" w:customStyle="1" w:styleId="182">
    <w:name w:val="(符号)三标题1.1"/>
    <w:basedOn w:val="1"/>
    <w:qFormat/>
    <w:uiPriority w:val="0"/>
    <w:pPr>
      <w:numPr>
        <w:ilvl w:val="0"/>
        <w:numId w:val="5"/>
      </w:numPr>
      <w:spacing w:before="140" w:after="140" w:line="500" w:lineRule="exact"/>
      <w:outlineLvl w:val="2"/>
    </w:pPr>
    <w:rPr>
      <w:rFonts w:ascii="楷体_GB2312" w:hAnsi="宋体" w:eastAsia="楷体_GB2312" w:cs="宋体"/>
      <w:b/>
      <w:bCs/>
      <w:sz w:val="28"/>
    </w:rPr>
  </w:style>
  <w:style w:type="paragraph" w:customStyle="1" w:styleId="183">
    <w:name w:val="Char1"/>
    <w:basedOn w:val="1"/>
    <w:qFormat/>
    <w:uiPriority w:val="0"/>
    <w:rPr>
      <w:szCs w:val="21"/>
    </w:rPr>
  </w:style>
  <w:style w:type="paragraph" w:customStyle="1" w:styleId="184">
    <w:name w:val="Char Char1 Char Char Char Char Char Char"/>
    <w:basedOn w:val="1"/>
    <w:qFormat/>
    <w:uiPriority w:val="0"/>
    <w:pPr>
      <w:widowControl/>
      <w:spacing w:after="160" w:line="240" w:lineRule="exact"/>
      <w:jc w:val="left"/>
    </w:pPr>
    <w:rPr>
      <w:rFonts w:ascii="Verdana" w:hAnsi="Verdana" w:eastAsia="仿宋_GB2312"/>
      <w:sz w:val="24"/>
      <w:lang w:eastAsia="en-US"/>
    </w:rPr>
  </w:style>
  <w:style w:type="paragraph" w:customStyle="1" w:styleId="18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rPr>
  </w:style>
  <w:style w:type="paragraph" w:customStyle="1" w:styleId="1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sz w:val="20"/>
    </w:rPr>
  </w:style>
  <w:style w:type="paragraph" w:customStyle="1" w:styleId="187">
    <w:name w:val="正文列项_字母"/>
    <w:basedOn w:val="167"/>
    <w:qFormat/>
    <w:uiPriority w:val="0"/>
    <w:pPr>
      <w:numPr>
        <w:ilvl w:val="6"/>
        <w:numId w:val="6"/>
      </w:numPr>
      <w:ind w:firstLine="0" w:firstLineChars="0"/>
      <w:outlineLvl w:val="6"/>
    </w:pPr>
  </w:style>
  <w:style w:type="paragraph" w:customStyle="1" w:styleId="188">
    <w:name w:val="Table Text"/>
    <w:basedOn w:val="1"/>
    <w:qFormat/>
    <w:uiPriority w:val="0"/>
    <w:pPr>
      <w:widowControl/>
      <w:spacing w:before="60" w:after="60"/>
      <w:jc w:val="left"/>
    </w:pPr>
    <w:rPr>
      <w:szCs w:val="24"/>
    </w:rPr>
  </w:style>
  <w:style w:type="paragraph" w:customStyle="1" w:styleId="189">
    <w:name w:val="标题A"/>
    <w:basedOn w:val="1"/>
    <w:qFormat/>
    <w:uiPriority w:val="0"/>
    <w:pPr>
      <w:autoSpaceDE w:val="0"/>
      <w:autoSpaceDN w:val="0"/>
      <w:adjustRightInd w:val="0"/>
      <w:ind w:left="720" w:right="-866"/>
      <w:jc w:val="left"/>
    </w:pPr>
    <w:rPr>
      <w:rFonts w:hAnsi="Arial" w:eastAsia="黑体"/>
      <w:i/>
      <w:sz w:val="28"/>
    </w:rPr>
  </w:style>
  <w:style w:type="paragraph" w:customStyle="1" w:styleId="190">
    <w:name w:val="Char Char Char Char Char Char Char"/>
    <w:basedOn w:val="15"/>
    <w:qFormat/>
    <w:uiPriority w:val="0"/>
    <w:pPr>
      <w:shd w:val="clear" w:color="auto" w:fill="000080"/>
    </w:pPr>
    <w:rPr>
      <w:rFonts w:ascii="Tahoma" w:hAnsi="Tahoma"/>
      <w:sz w:val="24"/>
      <w:szCs w:val="24"/>
    </w:rPr>
  </w:style>
  <w:style w:type="paragraph" w:customStyle="1" w:styleId="19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0"/>
    </w:rPr>
  </w:style>
  <w:style w:type="paragraph" w:customStyle="1" w:styleId="192">
    <w:name w:val="pa-18"/>
    <w:basedOn w:val="1"/>
    <w:qFormat/>
    <w:uiPriority w:val="0"/>
    <w:pPr>
      <w:widowControl/>
      <w:spacing w:line="280" w:lineRule="atLeast"/>
      <w:jc w:val="left"/>
    </w:pPr>
    <w:rPr>
      <w:rFonts w:hAnsi="宋体"/>
      <w:sz w:val="24"/>
    </w:rPr>
  </w:style>
  <w:style w:type="paragraph" w:customStyle="1" w:styleId="19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sz w:val="20"/>
    </w:rPr>
  </w:style>
  <w:style w:type="paragraph" w:customStyle="1" w:styleId="19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195">
    <w:name w:val="Char Char Char Char Char Char"/>
    <w:basedOn w:val="1"/>
    <w:qFormat/>
    <w:uiPriority w:val="0"/>
    <w:rPr>
      <w:rFonts w:ascii="Tahoma" w:hAnsi="Tahoma"/>
      <w:sz w:val="24"/>
    </w:rPr>
  </w:style>
  <w:style w:type="paragraph" w:customStyle="1" w:styleId="19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sz w:val="20"/>
    </w:rPr>
  </w:style>
  <w:style w:type="paragraph" w:customStyle="1" w:styleId="19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rPr>
  </w:style>
  <w:style w:type="paragraph" w:customStyle="1" w:styleId="198">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sz w:val="20"/>
    </w:rPr>
  </w:style>
  <w:style w:type="paragraph" w:customStyle="1" w:styleId="199">
    <w:name w:val="(符号)三标题1."/>
    <w:basedOn w:val="1"/>
    <w:qFormat/>
    <w:uiPriority w:val="0"/>
    <w:pPr>
      <w:tabs>
        <w:tab w:val="left" w:pos="425"/>
      </w:tabs>
      <w:spacing w:before="140" w:after="140" w:line="500" w:lineRule="exact"/>
      <w:ind w:left="425" w:hanging="425"/>
      <w:outlineLvl w:val="2"/>
    </w:pPr>
    <w:rPr>
      <w:rFonts w:ascii="楷体_GB2312" w:hAnsi="宋体" w:eastAsia="楷体_GB2312"/>
      <w:b/>
      <w:sz w:val="28"/>
    </w:rPr>
  </w:style>
  <w:style w:type="paragraph" w:customStyle="1" w:styleId="200">
    <w:name w:val="正文表标题"/>
    <w:next w:val="167"/>
    <w:qFormat/>
    <w:uiPriority w:val="0"/>
    <w:pPr>
      <w:numPr>
        <w:ilvl w:val="0"/>
        <w:numId w:val="7"/>
      </w:numPr>
      <w:spacing w:line="460" w:lineRule="exact"/>
      <w:jc w:val="center"/>
    </w:pPr>
    <w:rPr>
      <w:rFonts w:ascii="黑体" w:hAnsi="Times New Roman" w:eastAsia="黑体" w:cs="黑体"/>
      <w:sz w:val="28"/>
      <w:szCs w:val="28"/>
      <w:lang w:val="en-US" w:eastAsia="zh-CN" w:bidi="ar-SA"/>
    </w:rPr>
  </w:style>
  <w:style w:type="paragraph" w:customStyle="1" w:styleId="201">
    <w:name w:val="样式 首行缩进:  2 字符"/>
    <w:basedOn w:val="1"/>
    <w:qFormat/>
    <w:uiPriority w:val="0"/>
    <w:pPr>
      <w:spacing w:line="400" w:lineRule="exact"/>
      <w:ind w:firstLine="200" w:firstLineChars="200"/>
    </w:pPr>
    <w:rPr>
      <w:rFonts w:cs="宋体"/>
      <w:sz w:val="24"/>
      <w:szCs w:val="24"/>
    </w:rPr>
  </w:style>
  <w:style w:type="paragraph" w:customStyle="1" w:styleId="20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203">
    <w:name w:val="正文 + 宋体"/>
    <w:basedOn w:val="1"/>
    <w:qFormat/>
    <w:uiPriority w:val="0"/>
    <w:pPr>
      <w:widowControl/>
      <w:ind w:left="360" w:hanging="360"/>
      <w:jc w:val="left"/>
    </w:pPr>
    <w:rPr>
      <w:rFonts w:hAnsi="宋体" w:cs="宋体"/>
      <w:b/>
      <w:bCs/>
      <w:color w:val="000000"/>
      <w:sz w:val="18"/>
      <w:szCs w:val="18"/>
    </w:rPr>
  </w:style>
  <w:style w:type="paragraph" w:customStyle="1" w:styleId="204">
    <w:name w:val="标书正文格式"/>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paragraph" w:customStyle="1" w:styleId="20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sz w:val="20"/>
    </w:rPr>
  </w:style>
  <w:style w:type="paragraph" w:customStyle="1" w:styleId="2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sz w:val="20"/>
    </w:rPr>
  </w:style>
  <w:style w:type="paragraph" w:customStyle="1" w:styleId="2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FFFF"/>
      <w:szCs w:val="21"/>
    </w:rPr>
  </w:style>
  <w:style w:type="paragraph" w:customStyle="1" w:styleId="208">
    <w:name w:val="_Style 90"/>
    <w:basedOn w:val="15"/>
    <w:qFormat/>
    <w:uiPriority w:val="0"/>
    <w:pPr>
      <w:shd w:val="clear" w:color="auto" w:fill="000080"/>
    </w:pPr>
    <w:rPr>
      <w:rFonts w:ascii="Tahoma" w:hAnsi="Tahoma"/>
      <w:sz w:val="24"/>
      <w:szCs w:val="24"/>
    </w:rPr>
  </w:style>
  <w:style w:type="paragraph" w:customStyle="1" w:styleId="209">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top"/>
    </w:pPr>
    <w:rPr>
      <w:color w:val="FFFFFF"/>
      <w:szCs w:val="21"/>
    </w:rPr>
  </w:style>
  <w:style w:type="paragraph" w:customStyle="1" w:styleId="2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sz w:val="20"/>
    </w:rPr>
  </w:style>
  <w:style w:type="paragraph" w:customStyle="1" w:styleId="211">
    <w:name w:val="Char Char1 Char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212">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Ansi="宋体"/>
      <w:szCs w:val="21"/>
    </w:rPr>
  </w:style>
  <w:style w:type="paragraph" w:styleId="213">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214">
    <w:name w:val="Char2 Char Char Char"/>
    <w:basedOn w:val="1"/>
    <w:qFormat/>
    <w:uiPriority w:val="0"/>
    <w:rPr>
      <w:rFonts w:ascii="仿宋_GB2312" w:eastAsia="仿宋_GB2312"/>
      <w:b/>
      <w:sz w:val="32"/>
      <w:szCs w:val="32"/>
    </w:rPr>
  </w:style>
  <w:style w:type="paragraph" w:customStyle="1" w:styleId="215">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jc w:val="right"/>
      <w:textAlignment w:val="center"/>
    </w:pPr>
    <w:rPr>
      <w:szCs w:val="21"/>
    </w:rPr>
  </w:style>
  <w:style w:type="paragraph" w:customStyle="1" w:styleId="216">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hAnsi="宋体"/>
      <w:szCs w:val="21"/>
    </w:rPr>
  </w:style>
  <w:style w:type="paragraph" w:customStyle="1" w:styleId="217">
    <w:name w:val="font1"/>
    <w:basedOn w:val="1"/>
    <w:qFormat/>
    <w:uiPriority w:val="0"/>
    <w:pPr>
      <w:widowControl/>
      <w:spacing w:before="100" w:beforeAutospacing="1" w:after="100" w:afterAutospacing="1"/>
      <w:jc w:val="left"/>
    </w:pPr>
    <w:rPr>
      <w:rFonts w:hint="eastAsia" w:hAnsi="宋体"/>
      <w:sz w:val="24"/>
      <w:szCs w:val="24"/>
    </w:rPr>
  </w:style>
  <w:style w:type="paragraph" w:customStyle="1" w:styleId="218">
    <w:name w:val="(符号)四标题1.1"/>
    <w:basedOn w:val="1"/>
    <w:qFormat/>
    <w:uiPriority w:val="0"/>
    <w:pPr>
      <w:tabs>
        <w:tab w:val="left" w:pos="425"/>
      </w:tabs>
      <w:spacing w:line="500" w:lineRule="exact"/>
      <w:ind w:left="425" w:hanging="425"/>
    </w:pPr>
    <w:rPr>
      <w:rFonts w:hAnsi="宋体"/>
      <w:color w:val="000000"/>
      <w:sz w:val="24"/>
    </w:rPr>
  </w:style>
  <w:style w:type="paragraph" w:customStyle="1" w:styleId="219">
    <w:name w:val="_Style 1"/>
    <w:basedOn w:val="1"/>
    <w:qFormat/>
    <w:uiPriority w:val="0"/>
    <w:pPr>
      <w:ind w:firstLine="420" w:firstLineChars="200"/>
    </w:pPr>
    <w:rPr>
      <w:rFonts w:ascii="Calibri"/>
      <w:kern w:val="2"/>
      <w:sz w:val="21"/>
      <w:szCs w:val="22"/>
    </w:rPr>
  </w:style>
  <w:style w:type="paragraph" w:customStyle="1" w:styleId="22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sz w:val="20"/>
    </w:rPr>
  </w:style>
  <w:style w:type="paragraph" w:customStyle="1" w:styleId="22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sz w:val="20"/>
    </w:rPr>
  </w:style>
  <w:style w:type="paragraph" w:customStyle="1" w:styleId="222">
    <w:name w:val="表格"/>
    <w:basedOn w:val="1"/>
    <w:qFormat/>
    <w:uiPriority w:val="0"/>
    <w:pPr>
      <w:spacing w:line="400" w:lineRule="exact"/>
    </w:pPr>
    <w:rPr>
      <w:sz w:val="24"/>
      <w:szCs w:val="24"/>
    </w:rPr>
  </w:style>
  <w:style w:type="paragraph" w:customStyle="1" w:styleId="223">
    <w:name w:val="Char21"/>
    <w:basedOn w:val="1"/>
    <w:qFormat/>
    <w:uiPriority w:val="0"/>
    <w:pPr>
      <w:adjustRightInd w:val="0"/>
      <w:spacing w:line="360" w:lineRule="auto"/>
    </w:pPr>
    <w:rPr>
      <w:sz w:val="24"/>
    </w:rPr>
  </w:style>
  <w:style w:type="paragraph" w:customStyle="1" w:styleId="224">
    <w:name w:val="标题5"/>
    <w:basedOn w:val="8"/>
    <w:next w:val="8"/>
    <w:qFormat/>
    <w:uiPriority w:val="0"/>
    <w:pPr>
      <w:adjustRightInd/>
      <w:spacing w:before="0" w:after="0" w:line="300" w:lineRule="exact"/>
      <w:ind w:firstLine="630" w:firstLineChars="300"/>
      <w:textAlignment w:val="auto"/>
    </w:pPr>
    <w:rPr>
      <w:b w:val="0"/>
      <w:color w:val="000000"/>
      <w:kern w:val="2"/>
      <w:sz w:val="21"/>
      <w:szCs w:val="32"/>
    </w:rPr>
  </w:style>
  <w:style w:type="paragraph" w:customStyle="1" w:styleId="22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sz w:val="16"/>
      <w:szCs w:val="16"/>
    </w:rPr>
  </w:style>
  <w:style w:type="paragraph" w:customStyle="1" w:styleId="226">
    <w:name w:val="font9"/>
    <w:basedOn w:val="1"/>
    <w:qFormat/>
    <w:uiPriority w:val="0"/>
    <w:pPr>
      <w:widowControl/>
      <w:spacing w:before="100" w:beforeAutospacing="1" w:after="100" w:afterAutospacing="1"/>
      <w:jc w:val="left"/>
    </w:pPr>
    <w:rPr>
      <w:rFonts w:hint="eastAsia" w:hAnsi="宋体" w:cs="Arial Unicode MS"/>
      <w:color w:val="000000"/>
      <w:sz w:val="20"/>
    </w:rPr>
  </w:style>
  <w:style w:type="paragraph" w:customStyle="1" w:styleId="22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sz w:val="24"/>
      <w:szCs w:val="24"/>
    </w:rPr>
  </w:style>
  <w:style w:type="paragraph" w:customStyle="1" w:styleId="22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2"/>
      <w:szCs w:val="22"/>
    </w:rPr>
  </w:style>
  <w:style w:type="paragraph" w:customStyle="1" w:styleId="229">
    <w:name w:val="Char Char Char Char Char Char1 Char Char Char Char"/>
    <w:basedOn w:val="1"/>
    <w:qFormat/>
    <w:uiPriority w:val="0"/>
    <w:rPr>
      <w:rFonts w:eastAsia="Times New Roman"/>
      <w:sz w:val="20"/>
      <w:szCs w:val="24"/>
    </w:rPr>
  </w:style>
  <w:style w:type="paragraph" w:customStyle="1" w:styleId="230">
    <w:name w:val="菲页(卷)"/>
    <w:basedOn w:val="3"/>
    <w:next w:val="231"/>
    <w:qFormat/>
    <w:uiPriority w:val="0"/>
    <w:pPr>
      <w:keepLines w:val="0"/>
      <w:widowControl/>
      <w:tabs>
        <w:tab w:val="left" w:pos="420"/>
      </w:tabs>
      <w:spacing w:before="0" w:after="0" w:line="240" w:lineRule="auto"/>
      <w:ind w:left="430" w:hanging="430"/>
      <w:jc w:val="center"/>
      <w:outlineLvl w:val="1"/>
    </w:pPr>
    <w:rPr>
      <w:rFonts w:ascii="黑体" w:eastAsia="黑体"/>
      <w:b w:val="0"/>
      <w:bCs w:val="0"/>
      <w:kern w:val="0"/>
      <w:sz w:val="52"/>
      <w:szCs w:val="20"/>
    </w:rPr>
  </w:style>
  <w:style w:type="paragraph" w:customStyle="1" w:styleId="231">
    <w:name w:val="正文1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rPr>
  </w:style>
  <w:style w:type="paragraph" w:customStyle="1" w:styleId="23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color w:val="FFFFFF"/>
      <w:szCs w:val="21"/>
    </w:rPr>
  </w:style>
  <w:style w:type="paragraph" w:customStyle="1" w:styleId="234">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235">
    <w:name w:val="正文图标题"/>
    <w:next w:val="167"/>
    <w:qFormat/>
    <w:uiPriority w:val="0"/>
    <w:pPr>
      <w:numPr>
        <w:ilvl w:val="0"/>
        <w:numId w:val="8"/>
      </w:numPr>
      <w:spacing w:line="460" w:lineRule="exact"/>
      <w:jc w:val="center"/>
    </w:pPr>
    <w:rPr>
      <w:rFonts w:ascii="黑体" w:hAnsi="Times New Roman" w:eastAsia="黑体" w:cs="Times New Roman"/>
      <w:sz w:val="28"/>
      <w:lang w:val="en-US" w:eastAsia="zh-CN" w:bidi="ar-SA"/>
    </w:rPr>
  </w:style>
  <w:style w:type="paragraph" w:customStyle="1" w:styleId="236">
    <w:name w:val="p0"/>
    <w:basedOn w:val="1"/>
    <w:qFormat/>
    <w:uiPriority w:val="0"/>
    <w:pPr>
      <w:widowControl/>
      <w:spacing w:before="100" w:beforeAutospacing="1" w:after="100" w:afterAutospacing="1"/>
      <w:jc w:val="left"/>
    </w:pPr>
    <w:rPr>
      <w:rFonts w:hAnsi="宋体" w:cs="宋体"/>
      <w:sz w:val="24"/>
    </w:rPr>
  </w:style>
  <w:style w:type="paragraph" w:customStyle="1" w:styleId="237">
    <w:name w:val="Char1 Char Char Char"/>
    <w:basedOn w:val="1"/>
    <w:qFormat/>
    <w:uiPriority w:val="0"/>
    <w:pPr>
      <w:ind w:left="482"/>
    </w:pPr>
    <w:rPr>
      <w:rFonts w:ascii="Tahoma" w:hAnsi="Tahoma" w:eastAsia="Times New Roman"/>
      <w:sz w:val="24"/>
      <w:szCs w:val="24"/>
    </w:rPr>
  </w:style>
  <w:style w:type="paragraph" w:customStyle="1" w:styleId="238">
    <w:name w:val="p5"/>
    <w:basedOn w:val="1"/>
    <w:qFormat/>
    <w:uiPriority w:val="0"/>
    <w:pPr>
      <w:tabs>
        <w:tab w:val="left" w:pos="720"/>
      </w:tabs>
      <w:spacing w:line="240" w:lineRule="atLeast"/>
      <w:jc w:val="left"/>
    </w:pPr>
    <w:rPr>
      <w:sz w:val="24"/>
      <w:lang w:val="en-GB" w:eastAsia="de-DE"/>
    </w:rPr>
  </w:style>
  <w:style w:type="paragraph" w:customStyle="1" w:styleId="239">
    <w:name w:val="font10"/>
    <w:basedOn w:val="1"/>
    <w:qFormat/>
    <w:uiPriority w:val="0"/>
    <w:pPr>
      <w:widowControl/>
      <w:spacing w:before="100" w:beforeAutospacing="1" w:after="100" w:afterAutospacing="1"/>
      <w:jc w:val="left"/>
    </w:pPr>
    <w:rPr>
      <w:rFonts w:hint="eastAsia" w:hAnsi="宋体"/>
      <w:sz w:val="20"/>
    </w:rPr>
  </w:style>
  <w:style w:type="paragraph" w:customStyle="1" w:styleId="24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241">
    <w:name w:val="章标题"/>
    <w:next w:val="167"/>
    <w:qFormat/>
    <w:uiPriority w:val="0"/>
    <w:pPr>
      <w:numPr>
        <w:ilvl w:val="0"/>
        <w:numId w:val="6"/>
      </w:numPr>
      <w:spacing w:beforeLines="50" w:afterLines="50" w:line="460" w:lineRule="exact"/>
      <w:jc w:val="both"/>
      <w:outlineLvl w:val="0"/>
    </w:pPr>
    <w:rPr>
      <w:rFonts w:ascii="黑体" w:hAnsi="Calibri" w:eastAsia="黑体" w:cs="Times New Roman"/>
      <w:b/>
      <w:sz w:val="28"/>
      <w:lang w:val="en-US" w:eastAsia="zh-CN" w:bidi="ar-SA"/>
    </w:rPr>
  </w:style>
  <w:style w:type="paragraph" w:customStyle="1" w:styleId="24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rPr>
  </w:style>
  <w:style w:type="paragraph" w:customStyle="1" w:styleId="243">
    <w:name w:val="Char Char1 Char Char Char Char Char Char Char Char Char Char Char Char Char Char"/>
    <w:basedOn w:val="1"/>
    <w:qFormat/>
    <w:uiPriority w:val="0"/>
    <w:pPr>
      <w:widowControl/>
      <w:spacing w:after="160" w:line="240" w:lineRule="exact"/>
      <w:jc w:val="left"/>
    </w:pPr>
    <w:rPr>
      <w:rFonts w:ascii="Verdana" w:hAnsi="Verdana"/>
      <w:sz w:val="20"/>
      <w:lang w:eastAsia="en-US"/>
    </w:rPr>
  </w:style>
  <w:style w:type="paragraph" w:customStyle="1" w:styleId="24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sz w:val="20"/>
    </w:rPr>
  </w:style>
  <w:style w:type="paragraph" w:customStyle="1" w:styleId="2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6">
    <w:name w:val="Char1 Char Char Char Char Char Char"/>
    <w:basedOn w:val="1"/>
    <w:qFormat/>
    <w:uiPriority w:val="0"/>
  </w:style>
  <w:style w:type="paragraph" w:customStyle="1" w:styleId="24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sz w:val="20"/>
    </w:rPr>
  </w:style>
  <w:style w:type="paragraph" w:customStyle="1" w:styleId="248">
    <w:name w:val="菲页1"/>
    <w:basedOn w:val="4"/>
    <w:qFormat/>
    <w:uiPriority w:val="0"/>
    <w:pPr>
      <w:widowControl/>
      <w:spacing w:line="416" w:lineRule="auto"/>
      <w:jc w:val="center"/>
    </w:pPr>
    <w:rPr>
      <w:rFonts w:ascii="黑体" w:hAnsi="宋体"/>
      <w:b w:val="0"/>
      <w:bCs w:val="0"/>
      <w:sz w:val="52"/>
      <w:szCs w:val="20"/>
    </w:rPr>
  </w:style>
  <w:style w:type="paragraph" w:customStyle="1" w:styleId="249">
    <w:name w:val="正文文本 21"/>
    <w:basedOn w:val="1"/>
    <w:qFormat/>
    <w:uiPriority w:val="0"/>
    <w:pPr>
      <w:adjustRightInd w:val="0"/>
      <w:spacing w:line="300" w:lineRule="auto"/>
      <w:jc w:val="center"/>
      <w:textAlignment w:val="baseline"/>
    </w:pPr>
    <w:rPr>
      <w:rFonts w:hAnsi="宋体"/>
      <w:sz w:val="24"/>
    </w:rPr>
  </w:style>
  <w:style w:type="paragraph" w:customStyle="1" w:styleId="250">
    <w:name w:val="样式2"/>
    <w:basedOn w:val="1"/>
    <w:qFormat/>
    <w:uiPriority w:val="0"/>
    <w:pPr>
      <w:adjustRightInd w:val="0"/>
      <w:spacing w:line="410" w:lineRule="atLeast"/>
      <w:textAlignment w:val="baseline"/>
    </w:pPr>
    <w:rPr>
      <w:sz w:val="24"/>
    </w:rPr>
  </w:style>
  <w:style w:type="paragraph" w:customStyle="1" w:styleId="251">
    <w:name w:val="Char Char Char Char1"/>
    <w:basedOn w:val="1"/>
    <w:qFormat/>
    <w:uiPriority w:val="0"/>
    <w:pPr>
      <w:widowControl/>
      <w:spacing w:before="100" w:beforeAutospacing="1" w:after="100" w:afterAutospacing="1" w:line="360" w:lineRule="auto"/>
      <w:jc w:val="left"/>
    </w:pPr>
    <w:rPr>
      <w:rFonts w:ascii="Verdana" w:hAnsi="Verdana"/>
      <w:sz w:val="20"/>
      <w:szCs w:val="21"/>
      <w:lang w:eastAsia="en-US"/>
    </w:rPr>
  </w:style>
  <w:style w:type="paragraph" w:customStyle="1" w:styleId="252">
    <w:name w:val="一级条标题"/>
    <w:basedOn w:val="241"/>
    <w:next w:val="167"/>
    <w:qFormat/>
    <w:uiPriority w:val="0"/>
    <w:pPr>
      <w:outlineLvl w:val="2"/>
    </w:pPr>
    <w:rPr>
      <w:rFonts w:ascii="Times New Roman" w:hAnsi="Times New Roman"/>
      <w:sz w:val="21"/>
    </w:rPr>
  </w:style>
  <w:style w:type="paragraph" w:customStyle="1" w:styleId="253">
    <w:name w:val="正文首行缩进两字符"/>
    <w:basedOn w:val="1"/>
    <w:qFormat/>
    <w:uiPriority w:val="0"/>
    <w:pPr>
      <w:spacing w:line="360" w:lineRule="auto"/>
      <w:ind w:firstLine="200" w:firstLineChars="200"/>
    </w:pPr>
    <w:rPr>
      <w:szCs w:val="24"/>
    </w:rPr>
  </w:style>
  <w:style w:type="paragraph" w:customStyle="1" w:styleId="254">
    <w:name w:val="Char"/>
    <w:basedOn w:val="1"/>
    <w:qFormat/>
    <w:uiPriority w:val="0"/>
    <w:pPr>
      <w:tabs>
        <w:tab w:val="left" w:pos="360"/>
      </w:tabs>
      <w:spacing w:line="360" w:lineRule="auto"/>
      <w:ind w:left="482" w:firstLine="200" w:firstLineChars="200"/>
    </w:pPr>
    <w:rPr>
      <w:sz w:val="24"/>
      <w:szCs w:val="24"/>
    </w:rPr>
  </w:style>
  <w:style w:type="paragraph" w:customStyle="1" w:styleId="25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sz w:val="20"/>
    </w:rPr>
  </w:style>
  <w:style w:type="paragraph" w:customStyle="1" w:styleId="25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257">
    <w:name w:val="font11"/>
    <w:basedOn w:val="1"/>
    <w:qFormat/>
    <w:uiPriority w:val="0"/>
    <w:pPr>
      <w:widowControl/>
      <w:spacing w:before="100" w:beforeAutospacing="1" w:after="100" w:afterAutospacing="1"/>
      <w:jc w:val="left"/>
    </w:pPr>
    <w:rPr>
      <w:color w:val="000000"/>
      <w:sz w:val="18"/>
      <w:szCs w:val="18"/>
    </w:rPr>
  </w:style>
  <w:style w:type="paragraph" w:customStyle="1" w:styleId="258">
    <w:name w:val="pa-1"/>
    <w:basedOn w:val="1"/>
    <w:qFormat/>
    <w:uiPriority w:val="0"/>
    <w:pPr>
      <w:widowControl/>
      <w:spacing w:before="150" w:after="150"/>
      <w:jc w:val="left"/>
    </w:pPr>
    <w:rPr>
      <w:rFonts w:hAnsi="宋体" w:cs="宋体"/>
      <w:sz w:val="24"/>
      <w:szCs w:val="24"/>
    </w:rPr>
  </w:style>
  <w:style w:type="paragraph" w:customStyle="1" w:styleId="259">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szCs w:val="21"/>
    </w:rPr>
  </w:style>
  <w:style w:type="paragraph" w:customStyle="1" w:styleId="260">
    <w:name w:val="目录"/>
    <w:basedOn w:val="1"/>
    <w:qFormat/>
    <w:uiPriority w:val="0"/>
    <w:pPr>
      <w:widowControl/>
      <w:jc w:val="center"/>
    </w:pPr>
    <w:rPr>
      <w:b/>
      <w:sz w:val="36"/>
    </w:rPr>
  </w:style>
  <w:style w:type="paragraph" w:customStyle="1" w:styleId="261">
    <w:name w:val="正文缩进1"/>
    <w:basedOn w:val="1"/>
    <w:next w:val="1"/>
    <w:qFormat/>
    <w:uiPriority w:val="0"/>
    <w:pPr>
      <w:widowControl/>
      <w:ind w:firstLine="420"/>
    </w:pPr>
    <w:rPr>
      <w:color w:val="000000"/>
    </w:rPr>
  </w:style>
  <w:style w:type="paragraph" w:customStyle="1" w:styleId="262">
    <w:name w:val="pa-0"/>
    <w:basedOn w:val="1"/>
    <w:qFormat/>
    <w:uiPriority w:val="0"/>
    <w:pPr>
      <w:widowControl/>
      <w:spacing w:before="150" w:after="150"/>
      <w:jc w:val="left"/>
    </w:pPr>
    <w:rPr>
      <w:rFonts w:hAnsi="宋体" w:cs="宋体"/>
      <w:sz w:val="24"/>
      <w:szCs w:val="24"/>
    </w:rPr>
  </w:style>
  <w:style w:type="paragraph" w:customStyle="1" w:styleId="2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sz w:val="20"/>
    </w:rPr>
  </w:style>
  <w:style w:type="paragraph" w:customStyle="1" w:styleId="264">
    <w:name w:val="font6"/>
    <w:basedOn w:val="1"/>
    <w:qFormat/>
    <w:uiPriority w:val="0"/>
    <w:pPr>
      <w:widowControl/>
      <w:spacing w:before="100" w:beforeAutospacing="1" w:after="100" w:afterAutospacing="1"/>
      <w:jc w:val="left"/>
    </w:pPr>
    <w:rPr>
      <w:rFonts w:hAnsi="宋体" w:cs="宋体"/>
      <w:sz w:val="20"/>
    </w:rPr>
  </w:style>
  <w:style w:type="paragraph" w:customStyle="1" w:styleId="265">
    <w:name w:val="xl66"/>
    <w:basedOn w:val="1"/>
    <w:qFormat/>
    <w:uiPriority w:val="0"/>
    <w:pPr>
      <w:widowControl/>
      <w:pBdr>
        <w:right w:val="single" w:color="000000" w:sz="4" w:space="0"/>
      </w:pBdr>
      <w:spacing w:before="100" w:beforeAutospacing="1" w:after="100" w:afterAutospacing="1"/>
      <w:jc w:val="right"/>
      <w:textAlignment w:val="center"/>
    </w:pPr>
    <w:rPr>
      <w:color w:val="FFFFFF"/>
      <w:szCs w:val="21"/>
    </w:rPr>
  </w:style>
  <w:style w:type="paragraph" w:customStyle="1" w:styleId="2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sz w:val="20"/>
    </w:rPr>
  </w:style>
  <w:style w:type="paragraph" w:customStyle="1" w:styleId="26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sz w:val="20"/>
    </w:rPr>
  </w:style>
  <w:style w:type="paragraph" w:customStyle="1" w:styleId="26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rPr>
  </w:style>
  <w:style w:type="paragraph" w:customStyle="1" w:styleId="26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sz w:val="20"/>
    </w:rPr>
  </w:style>
  <w:style w:type="paragraph" w:customStyle="1" w:styleId="270">
    <w:name w:val="(符号)五标题1.1.1"/>
    <w:basedOn w:val="1"/>
    <w:qFormat/>
    <w:uiPriority w:val="0"/>
    <w:pPr>
      <w:numPr>
        <w:ilvl w:val="2"/>
        <w:numId w:val="5"/>
      </w:numPr>
      <w:spacing w:line="500" w:lineRule="exact"/>
    </w:pPr>
    <w:rPr>
      <w:rFonts w:hAnsi="宋体" w:cs="宋体"/>
      <w:color w:val="000000"/>
      <w:sz w:val="24"/>
    </w:rPr>
  </w:style>
  <w:style w:type="paragraph" w:customStyle="1" w:styleId="271">
    <w:name w:val="Blockquote"/>
    <w:basedOn w:val="1"/>
    <w:qFormat/>
    <w:uiPriority w:val="0"/>
    <w:pPr>
      <w:autoSpaceDE w:val="0"/>
      <w:autoSpaceDN w:val="0"/>
      <w:adjustRightInd w:val="0"/>
      <w:spacing w:before="100" w:after="100"/>
      <w:ind w:left="360" w:right="360"/>
      <w:jc w:val="left"/>
    </w:pPr>
    <w:rPr>
      <w:sz w:val="24"/>
    </w:rPr>
  </w:style>
  <w:style w:type="paragraph" w:customStyle="1" w:styleId="272">
    <w:name w:val="usezw"/>
    <w:basedOn w:val="1"/>
    <w:qFormat/>
    <w:uiPriority w:val="0"/>
    <w:pPr>
      <w:spacing w:line="360" w:lineRule="auto"/>
      <w:ind w:firstLine="480" w:firstLineChars="200"/>
    </w:pPr>
    <w:rPr>
      <w:rFonts w:hAnsi="宋体"/>
    </w:rPr>
  </w:style>
  <w:style w:type="paragraph" w:customStyle="1" w:styleId="273">
    <w:name w:val="Other|1"/>
    <w:basedOn w:val="1"/>
    <w:qFormat/>
    <w:uiPriority w:val="0"/>
    <w:pPr>
      <w:spacing w:line="308" w:lineRule="exact"/>
    </w:pPr>
    <w:rPr>
      <w:rFonts w:hAnsi="宋体" w:cs="宋体"/>
      <w:sz w:val="22"/>
      <w:szCs w:val="22"/>
      <w:lang w:val="zh-TW" w:eastAsia="zh-TW" w:bidi="zh-TW"/>
    </w:rPr>
  </w:style>
  <w:style w:type="paragraph" w:customStyle="1" w:styleId="274">
    <w:name w:val="三级条标题"/>
    <w:next w:val="167"/>
    <w:qFormat/>
    <w:uiPriority w:val="0"/>
    <w:pPr>
      <w:numPr>
        <w:ilvl w:val="3"/>
        <w:numId w:val="4"/>
      </w:numPr>
      <w:spacing w:line="460" w:lineRule="exact"/>
      <w:outlineLvl w:val="3"/>
    </w:pPr>
    <w:rPr>
      <w:rFonts w:ascii="黑体" w:hAnsi="Times New Roman" w:eastAsia="黑体" w:cs="Times New Roman"/>
      <w:sz w:val="28"/>
      <w:lang w:val="en-US" w:eastAsia="zh-CN" w:bidi="ar-SA"/>
    </w:rPr>
  </w:style>
  <w:style w:type="paragraph" w:customStyle="1" w:styleId="275">
    <w:name w:val="本文-正文"/>
    <w:basedOn w:val="1"/>
    <w:qFormat/>
    <w:uiPriority w:val="0"/>
    <w:pPr>
      <w:spacing w:line="300" w:lineRule="auto"/>
      <w:ind w:firstLine="1040" w:firstLineChars="200"/>
    </w:pPr>
    <w:rPr>
      <w:rFonts w:ascii="Calibri"/>
      <w:sz w:val="24"/>
    </w:rPr>
  </w:style>
  <w:style w:type="paragraph" w:customStyle="1" w:styleId="276">
    <w:name w:val="本文-表格"/>
    <w:basedOn w:val="275"/>
    <w:qFormat/>
    <w:uiPriority w:val="0"/>
    <w:pPr>
      <w:ind w:firstLine="0" w:firstLineChars="0"/>
      <w:jc w:val="left"/>
    </w:pPr>
    <w:rPr>
      <w:sz w:val="21"/>
    </w:rPr>
  </w:style>
  <w:style w:type="paragraph" w:customStyle="1" w:styleId="277">
    <w:name w:val="本文-表格-缩进"/>
    <w:basedOn w:val="276"/>
    <w:qFormat/>
    <w:uiPriority w:val="0"/>
    <w:pPr>
      <w:ind w:firstLine="1040" w:firstLineChars="200"/>
    </w:pPr>
  </w:style>
  <w:style w:type="paragraph" w:customStyle="1" w:styleId="278">
    <w:name w:val="技术文件正文"/>
    <w:basedOn w:val="1"/>
    <w:qFormat/>
    <w:uiPriority w:val="0"/>
    <w:pPr>
      <w:spacing w:line="460" w:lineRule="exact"/>
    </w:pPr>
    <w:rPr>
      <w:sz w:val="28"/>
    </w:rPr>
  </w:style>
  <w:style w:type="paragraph" w:customStyle="1" w:styleId="279">
    <w:name w:val="1标题"/>
    <w:basedOn w:val="1"/>
    <w:qFormat/>
    <w:uiPriority w:val="0"/>
    <w:pPr>
      <w:widowControl/>
      <w:spacing w:afterLines="50" w:line="360" w:lineRule="auto"/>
      <w:jc w:val="left"/>
      <w:outlineLvl w:val="0"/>
    </w:pPr>
    <w:rPr>
      <w:b/>
      <w:sz w:val="28"/>
      <w:szCs w:val="28"/>
    </w:rPr>
  </w:style>
  <w:style w:type="paragraph" w:customStyle="1" w:styleId="280">
    <w:name w:val="2标题"/>
    <w:basedOn w:val="279"/>
    <w:qFormat/>
    <w:uiPriority w:val="0"/>
    <w:pPr>
      <w:outlineLvl w:val="1"/>
    </w:pPr>
  </w:style>
  <w:style w:type="paragraph" w:customStyle="1" w:styleId="281">
    <w:name w:val="图片"/>
    <w:basedOn w:val="1"/>
    <w:qFormat/>
    <w:uiPriority w:val="0"/>
    <w:pPr>
      <w:widowControl/>
      <w:spacing w:line="360" w:lineRule="auto"/>
      <w:ind w:left="-1440" w:leftChars="-600" w:right="-1440" w:rightChars="-600"/>
      <w:jc w:val="center"/>
    </w:pPr>
    <w:rPr>
      <w:rFonts w:ascii="Calibri"/>
      <w:sz w:val="24"/>
    </w:rPr>
  </w:style>
  <w:style w:type="paragraph" w:customStyle="1" w:styleId="282">
    <w:name w:val="正文段"/>
    <w:basedOn w:val="283"/>
    <w:qFormat/>
    <w:uiPriority w:val="0"/>
    <w:pPr>
      <w:ind w:firstLine="200" w:firstLineChars="200"/>
      <w:outlineLvl w:val="9"/>
    </w:pPr>
  </w:style>
  <w:style w:type="paragraph" w:customStyle="1" w:styleId="283">
    <w:name w:val="正文第二层次以后条的标题"/>
    <w:basedOn w:val="1"/>
    <w:qFormat/>
    <w:uiPriority w:val="0"/>
    <w:pPr>
      <w:spacing w:line="460" w:lineRule="exact"/>
      <w:outlineLvl w:val="2"/>
    </w:pPr>
    <w:rPr>
      <w:rFonts w:hAnsi="宋体"/>
      <w:sz w:val="28"/>
    </w:rPr>
  </w:style>
  <w:style w:type="paragraph" w:customStyle="1" w:styleId="284">
    <w:name w:val="3标题"/>
    <w:basedOn w:val="280"/>
    <w:qFormat/>
    <w:uiPriority w:val="0"/>
    <w:pPr>
      <w:outlineLvl w:val="2"/>
    </w:pPr>
    <w:rPr>
      <w:sz w:val="24"/>
    </w:rPr>
  </w:style>
  <w:style w:type="paragraph" w:customStyle="1" w:styleId="285">
    <w:name w:val="页眉_主要"/>
    <w:basedOn w:val="31"/>
    <w:qFormat/>
    <w:uiPriority w:val="0"/>
    <w:pPr>
      <w:pBdr>
        <w:bottom w:val="single" w:color="auto" w:sz="8" w:space="1"/>
      </w:pBdr>
      <w:tabs>
        <w:tab w:val="center" w:pos="4678"/>
        <w:tab w:val="right" w:pos="9356"/>
      </w:tabs>
      <w:jc w:val="both"/>
    </w:pPr>
    <w:rPr>
      <w:rFonts w:ascii="宋体"/>
      <w:sz w:val="24"/>
    </w:rPr>
  </w:style>
  <w:style w:type="paragraph" w:customStyle="1" w:styleId="286">
    <w:name w:val="页眉_首页"/>
    <w:basedOn w:val="31"/>
    <w:qFormat/>
    <w:uiPriority w:val="0"/>
    <w:pPr>
      <w:jc w:val="right"/>
    </w:pPr>
    <w:rPr>
      <w:rFonts w:ascii="宋体"/>
      <w:sz w:val="24"/>
    </w:rPr>
  </w:style>
  <w:style w:type="paragraph" w:customStyle="1" w:styleId="287">
    <w:name w:val="页脚_正文"/>
    <w:qFormat/>
    <w:uiPriority w:val="0"/>
    <w:pPr>
      <w:jc w:val="center"/>
    </w:pPr>
    <w:rPr>
      <w:rFonts w:ascii="宋体" w:hAnsi="Times New Roman" w:eastAsia="宋体" w:cs="Times New Roman"/>
      <w:sz w:val="21"/>
      <w:lang w:val="en-US" w:eastAsia="zh-CN" w:bidi="ar-SA"/>
    </w:rPr>
  </w:style>
  <w:style w:type="paragraph" w:customStyle="1" w:styleId="288">
    <w:name w:val="封面型号"/>
    <w:basedOn w:val="1"/>
    <w:next w:val="289"/>
    <w:qFormat/>
    <w:uiPriority w:val="0"/>
    <w:pPr>
      <w:adjustRightInd w:val="0"/>
      <w:jc w:val="center"/>
    </w:pPr>
    <w:rPr>
      <w:b/>
      <w:sz w:val="28"/>
    </w:rPr>
  </w:style>
  <w:style w:type="paragraph" w:customStyle="1" w:styleId="289">
    <w:name w:val="封面文件号"/>
    <w:basedOn w:val="1"/>
    <w:next w:val="290"/>
    <w:qFormat/>
    <w:uiPriority w:val="0"/>
    <w:pPr>
      <w:adjustRightInd w:val="0"/>
      <w:jc w:val="center"/>
    </w:pPr>
    <w:rPr>
      <w:b/>
      <w:sz w:val="32"/>
    </w:rPr>
  </w:style>
  <w:style w:type="paragraph" w:customStyle="1" w:styleId="290">
    <w:name w:val="封面页数"/>
    <w:basedOn w:val="1"/>
    <w:qFormat/>
    <w:uiPriority w:val="0"/>
    <w:pPr>
      <w:adjustRightInd w:val="0"/>
      <w:jc w:val="center"/>
    </w:pPr>
    <w:rPr>
      <w:b/>
      <w:sz w:val="28"/>
    </w:rPr>
  </w:style>
  <w:style w:type="table" w:customStyle="1" w:styleId="291">
    <w:name w:val="网格型3"/>
    <w:basedOn w:val="4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2">
    <w:name w:val="Placeholder Text"/>
    <w:basedOn w:val="48"/>
    <w:unhideWhenUsed/>
    <w:qFormat/>
    <w:uiPriority w:val="99"/>
    <w:rPr>
      <w:color w:val="808080"/>
    </w:rPr>
  </w:style>
  <w:style w:type="paragraph" w:customStyle="1" w:styleId="293">
    <w:name w:val="Body text|1"/>
    <w:basedOn w:val="1"/>
    <w:qFormat/>
    <w:uiPriority w:val="0"/>
    <w:pPr>
      <w:spacing w:line="276" w:lineRule="auto"/>
      <w:ind w:firstLine="400"/>
    </w:pPr>
    <w:rPr>
      <w:rFonts w:hAnsi="宋体" w:cs="宋体"/>
      <w:sz w:val="42"/>
      <w:szCs w:val="42"/>
      <w:lang w:val="zh-TW" w:eastAsia="zh-TW" w:bidi="zh-TW"/>
    </w:rPr>
  </w:style>
  <w:style w:type="paragraph" w:customStyle="1" w:styleId="294">
    <w:name w:val="Body text|2"/>
    <w:basedOn w:val="1"/>
    <w:qFormat/>
    <w:uiPriority w:val="0"/>
    <w:pPr>
      <w:spacing w:line="293" w:lineRule="auto"/>
      <w:ind w:firstLine="860"/>
    </w:pPr>
    <w:rPr>
      <w:sz w:val="42"/>
      <w:szCs w:val="42"/>
      <w:lang w:val="zh-TW" w:eastAsia="zh-TW" w:bidi="zh-TW"/>
    </w:rPr>
  </w:style>
  <w:style w:type="paragraph" w:customStyle="1" w:styleId="295">
    <w:name w:val="Body text|3"/>
    <w:basedOn w:val="1"/>
    <w:qFormat/>
    <w:uiPriority w:val="0"/>
    <w:pPr>
      <w:jc w:val="center"/>
    </w:pPr>
    <w:rPr>
      <w:sz w:val="26"/>
      <w:szCs w:val="26"/>
    </w:rPr>
  </w:style>
  <w:style w:type="character" w:customStyle="1" w:styleId="296">
    <w:name w:val="NormalCharacter"/>
    <w:qFormat/>
    <w:uiPriority w:val="0"/>
    <w:rPr>
      <w:kern w:val="2"/>
      <w:sz w:val="21"/>
      <w:szCs w:val="24"/>
      <w:lang w:val="en-US" w:eastAsia="zh-CN" w:bidi="ar-SA"/>
    </w:rPr>
  </w:style>
  <w:style w:type="paragraph" w:customStyle="1" w:styleId="297">
    <w:name w:val="BodyText"/>
    <w:basedOn w:val="1"/>
    <w:next w:val="1"/>
    <w:qFormat/>
    <w:uiPriority w:val="0"/>
    <w:pPr>
      <w:spacing w:after="120" w:line="259" w:lineRule="auto"/>
      <w:textAlignment w:val="baseline"/>
    </w:pPr>
    <w:rPr>
      <w:rFonts w:ascii="Times New Roman" w:hAnsi="Times New Roman"/>
      <w:kern w:val="2"/>
      <w:sz w:val="21"/>
      <w:szCs w:val="24"/>
    </w:rPr>
  </w:style>
  <w:style w:type="paragraph" w:customStyle="1" w:styleId="298">
    <w:name w:val="179"/>
    <w:basedOn w:val="1"/>
    <w:qFormat/>
    <w:uiPriority w:val="0"/>
    <w:pPr>
      <w:spacing w:after="160" w:line="259" w:lineRule="auto"/>
      <w:ind w:firstLine="420" w:firstLineChars="200"/>
      <w:textAlignment w:val="baseline"/>
    </w:pPr>
    <w:rPr>
      <w:rFonts w:ascii="Times New Roman" w:hAnsi="Times New Roman"/>
      <w:kern w:val="2"/>
      <w:sz w:val="21"/>
      <w:szCs w:val="24"/>
    </w:rPr>
  </w:style>
  <w:style w:type="paragraph" w:customStyle="1" w:styleId="299">
    <w:name w:val="公文表文字"/>
    <w:basedOn w:val="1"/>
    <w:qFormat/>
    <w:uiPriority w:val="0"/>
    <w:pPr>
      <w:jc w:val="center"/>
    </w:pPr>
    <w:rPr>
      <w:sz w:val="20"/>
      <w:szCs w:val="21"/>
    </w:rPr>
  </w:style>
  <w:style w:type="paragraph" w:customStyle="1" w:styleId="300">
    <w:name w:val="封面题名"/>
    <w:basedOn w:val="1"/>
    <w:next w:val="1"/>
    <w:qFormat/>
    <w:uiPriority w:val="0"/>
    <w:pPr>
      <w:adjustRightInd w:val="0"/>
      <w:jc w:val="center"/>
    </w:pPr>
    <w:rPr>
      <w:rFonts w:hAnsi="宋体"/>
      <w:b/>
      <w:sz w:val="44"/>
    </w:rPr>
  </w:style>
  <w:style w:type="paragraph" w:customStyle="1" w:styleId="301">
    <w:name w:val="0-正文"/>
    <w:qFormat/>
    <w:uiPriority w:val="0"/>
    <w:pPr>
      <w:autoSpaceDE w:val="0"/>
      <w:autoSpaceDN w:val="0"/>
      <w:spacing w:line="400" w:lineRule="exact"/>
      <w:ind w:firstLine="200" w:firstLineChars="200"/>
      <w:jc w:val="both"/>
    </w:pPr>
    <w:rPr>
      <w:rFonts w:ascii="Times New Roman" w:hAnsi="Times New Roman" w:eastAsia="宋体" w:cs="宋体"/>
      <w:snapToGrid w:val="0"/>
      <w:kern w:val="2"/>
      <w:sz w:val="24"/>
      <w:szCs w:val="24"/>
      <w:lang w:val="zh-CN" w:eastAsia="zh-CN" w:bidi="ar-SA"/>
    </w:rPr>
  </w:style>
  <w:style w:type="paragraph" w:customStyle="1" w:styleId="302">
    <w:name w:val="Revision"/>
    <w:hidden/>
    <w:semiHidden/>
    <w:qFormat/>
    <w:uiPriority w:val="99"/>
    <w:rPr>
      <w:rFonts w:ascii="宋体" w:hAnsi="Calibri" w:eastAsia="宋体" w:cs="Times New Roman"/>
      <w:sz w:val="34"/>
      <w:lang w:val="en-US" w:eastAsia="zh-CN" w:bidi="ar-SA"/>
    </w:rPr>
  </w:style>
  <w:style w:type="paragraph" w:customStyle="1" w:styleId="303">
    <w:name w:val="Heading2"/>
    <w:basedOn w:val="1"/>
    <w:next w:val="1"/>
    <w:qFormat/>
    <w:uiPriority w:val="0"/>
    <w:pPr>
      <w:keepNext/>
      <w:keepLines/>
      <w:spacing w:before="260" w:after="260" w:line="413" w:lineRule="auto"/>
      <w:textAlignment w:val="baseline"/>
    </w:pPr>
    <w:rPr>
      <w:rFonts w:ascii="Arial" w:hAnsi="Arial" w:eastAsia="黑体" w:cs="Calibri"/>
      <w:b/>
      <w:bCs/>
      <w:sz w:val="32"/>
      <w:szCs w:val="32"/>
    </w:rPr>
  </w:style>
  <w:style w:type="paragraph" w:customStyle="1" w:styleId="304">
    <w:name w:val="UserStyle_141"/>
    <w:basedOn w:val="1"/>
    <w:qFormat/>
    <w:uiPriority w:val="0"/>
    <w:pPr>
      <w:spacing w:line="360" w:lineRule="auto"/>
      <w:ind w:firstLine="200" w:firstLineChars="200"/>
      <w:textAlignment w:val="baseline"/>
    </w:pPr>
    <w:rPr>
      <w:szCs w:val="24"/>
    </w:rPr>
  </w:style>
  <w:style w:type="paragraph" w:customStyle="1" w:styleId="305">
    <w:name w:val="UserStyle_34"/>
    <w:qFormat/>
    <w:uiPriority w:val="0"/>
    <w:pPr>
      <w:spacing w:after="160" w:line="259" w:lineRule="auto"/>
      <w:textAlignment w:val="baseline"/>
    </w:pPr>
    <w:rPr>
      <w:rFonts w:ascii="宋体" w:hAnsi="宋体" w:eastAsia="宋体" w:cs="Times New Roman"/>
      <w:sz w:val="24"/>
      <w:szCs w:val="24"/>
      <w:lang w:val="en-US" w:eastAsia="zh-CN" w:bidi="ar-SA"/>
    </w:rPr>
  </w:style>
  <w:style w:type="paragraph" w:customStyle="1" w:styleId="306">
    <w:name w:val="UserStyle_37"/>
    <w:next w:val="1"/>
    <w:qFormat/>
    <w:uiPriority w:val="0"/>
    <w:pPr>
      <w:ind w:firstLine="200" w:firstLineChars="200"/>
      <w:jc w:val="both"/>
      <w:textAlignment w:val="baseline"/>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B15081-63AB-495C-91AB-897457D23B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34699</Words>
  <Characters>36288</Characters>
  <Lines>370</Lines>
  <Paragraphs>104</Paragraphs>
  <TotalTime>0</TotalTime>
  <ScaleCrop>false</ScaleCrop>
  <LinksUpToDate>false</LinksUpToDate>
  <CharactersWithSpaces>37637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2021-11-18T15:34:00Z</dcterms:created>
  <dc:creator>PC</dc:creator>
  <cp:lastModifiedBy>蒋佳岑</cp:lastModifiedBy>
  <cp:lastPrinted>2022-07-15T07:39:00Z</cp:lastPrinted>
  <dcterms:modified xsi:type="dcterms:W3CDTF">2022-08-16T08:13:21Z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4BDBD1D2F1204A25BBF6CA8037FB1DFA</vt:lpwstr>
  </property>
</Properties>
</file>